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82E4" w14:textId="4FC53C45" w:rsidR="00CC2CA2" w:rsidRDefault="00597968" w:rsidP="00597968">
      <w:pPr>
        <w:pStyle w:val="Heading1"/>
        <w:ind w:left="0" w:firstLine="0"/>
      </w:pPr>
      <w:bookmarkStart w:id="0" w:name="_Toc473899556"/>
      <w:bookmarkStart w:id="1" w:name="_Toc474579301"/>
      <w:bookmarkStart w:id="2" w:name="_Toc474243031"/>
      <w:bookmarkStart w:id="3" w:name="_Toc475093271"/>
      <w:r>
        <w:t>E</w:t>
      </w:r>
      <w:r w:rsidR="004631BC">
        <w:t xml:space="preserve">ducator </w:t>
      </w:r>
      <w:r>
        <w:t>E</w:t>
      </w:r>
      <w:r w:rsidR="004631BC">
        <w:t xml:space="preserve">ffectiveness </w:t>
      </w:r>
      <w:r>
        <w:t>D</w:t>
      </w:r>
      <w:r w:rsidR="004631BC">
        <w:t xml:space="preserve">ivision </w:t>
      </w:r>
      <w:r w:rsidR="00B86AB6">
        <w:t>–</w:t>
      </w:r>
      <w:r w:rsidR="004631BC">
        <w:t xml:space="preserve"> </w:t>
      </w:r>
      <w:r w:rsidR="00B86AB6">
        <w:t>Program Application Guidance on</w:t>
      </w:r>
      <w:r>
        <w:t xml:space="preserve"> </w:t>
      </w:r>
      <w:r w:rsidR="00CC2CA2" w:rsidRPr="008C514C">
        <w:t>Matching</w:t>
      </w:r>
      <w:bookmarkEnd w:id="0"/>
      <w:bookmarkEnd w:id="1"/>
      <w:bookmarkEnd w:id="2"/>
      <w:bookmarkEnd w:id="3"/>
      <w:r w:rsidR="005D14D6">
        <w:t xml:space="preserve"> or Cost-Share</w:t>
      </w:r>
    </w:p>
    <w:p w14:paraId="5CA5F8B5" w14:textId="74CC513A" w:rsidR="00D172A1" w:rsidRDefault="00BE489D" w:rsidP="00D172A1">
      <w:pPr>
        <w:ind w:firstLine="0"/>
      </w:pPr>
      <w:r>
        <w:t>April 5</w:t>
      </w:r>
      <w:r w:rsidR="00D172A1">
        <w:t xml:space="preserve">, </w:t>
      </w:r>
      <w:r>
        <w:t>202</w:t>
      </w:r>
      <w:r>
        <w:t>2</w:t>
      </w:r>
    </w:p>
    <w:p w14:paraId="08F1317C" w14:textId="45AA0785" w:rsidR="00CC2CA2" w:rsidRPr="008C514C" w:rsidRDefault="00CC2CA2" w:rsidP="00E230BB">
      <w:pPr>
        <w:pStyle w:val="Heading2"/>
        <w:ind w:left="0" w:firstLine="0"/>
      </w:pPr>
      <w:bookmarkStart w:id="4" w:name="_Toc473899557"/>
      <w:bookmarkStart w:id="5" w:name="_Toc474579302"/>
      <w:bookmarkStart w:id="6" w:name="_Toc474243032"/>
      <w:bookmarkStart w:id="7" w:name="_Toc475093272"/>
      <w:r w:rsidRPr="008C514C">
        <w:t xml:space="preserve">1.  Must grantees secure </w:t>
      </w:r>
      <w:bookmarkStart w:id="8" w:name="_Hlk34832703"/>
      <w:r w:rsidR="00B33274">
        <w:t xml:space="preserve">cost share or </w:t>
      </w:r>
      <w:r w:rsidRPr="008C514C">
        <w:t xml:space="preserve">matching </w:t>
      </w:r>
      <w:bookmarkEnd w:id="8"/>
      <w:r w:rsidRPr="008C514C">
        <w:t>funds to support their project activities?</w:t>
      </w:r>
      <w:bookmarkEnd w:id="4"/>
      <w:bookmarkEnd w:id="5"/>
      <w:bookmarkEnd w:id="6"/>
      <w:bookmarkEnd w:id="7"/>
      <w:r w:rsidRPr="008C514C">
        <w:t xml:space="preserve">  </w:t>
      </w:r>
    </w:p>
    <w:p w14:paraId="1AC33BB0" w14:textId="3F169E6A" w:rsidR="00E230BB" w:rsidRDefault="00D56783" w:rsidP="00760288">
      <w:bookmarkStart w:id="9" w:name="_Hlk34829750"/>
      <w:bookmarkStart w:id="10" w:name="_Toc473899558"/>
      <w:r>
        <w:t xml:space="preserve">Yes. </w:t>
      </w:r>
      <w:r w:rsidR="00E230BB" w:rsidRPr="00E230BB">
        <w:t xml:space="preserve">Each grantee must meet the statutory </w:t>
      </w:r>
      <w:bookmarkStart w:id="11" w:name="_Hlk34852715"/>
      <w:r w:rsidR="00B33274" w:rsidRPr="00B33274">
        <w:t>cost share or matching</w:t>
      </w:r>
      <w:r w:rsidR="00E230BB" w:rsidRPr="00E230BB">
        <w:t xml:space="preserve"> </w:t>
      </w:r>
      <w:bookmarkEnd w:id="11"/>
      <w:r w:rsidR="00E230BB" w:rsidRPr="00E230BB">
        <w:t>requirement</w:t>
      </w:r>
      <w:r w:rsidR="0020164C">
        <w:t xml:space="preserve"> of their respective grant program</w:t>
      </w:r>
      <w:r w:rsidR="00E230BB">
        <w:t>.</w:t>
      </w:r>
      <w:r w:rsidR="00E230BB" w:rsidRPr="00E230BB">
        <w:t xml:space="preserve"> These funds may be provided in cash or through in-kind contributions. Applicants must include </w:t>
      </w:r>
      <w:r w:rsidR="00E230BB">
        <w:t xml:space="preserve">the required </w:t>
      </w:r>
      <w:r w:rsidR="00F362E0">
        <w:t xml:space="preserve">EED </w:t>
      </w:r>
      <w:r w:rsidR="00E230BB">
        <w:t>B</w:t>
      </w:r>
      <w:r w:rsidR="00E230BB" w:rsidRPr="00E230BB">
        <w:t xml:space="preserve">udget </w:t>
      </w:r>
      <w:r w:rsidR="00E230BB">
        <w:t>Worksheet, which details</w:t>
      </w:r>
      <w:r w:rsidR="00E230BB" w:rsidRPr="00E230BB">
        <w:t xml:space="preserve"> their</w:t>
      </w:r>
      <w:r w:rsidR="00E230BB">
        <w:t xml:space="preserve"> cost share and</w:t>
      </w:r>
      <w:r w:rsidR="00E230BB" w:rsidRPr="00E230BB">
        <w:t xml:space="preserve"> matching contributions</w:t>
      </w:r>
      <w:r w:rsidR="00E230BB">
        <w:t xml:space="preserve">. </w:t>
      </w:r>
      <w:r w:rsidR="00E230BB" w:rsidRPr="00E230BB">
        <w:t xml:space="preserve"> </w:t>
      </w:r>
      <w:r w:rsidR="00FF021A" w:rsidRPr="00FF021A">
        <w:t>Applicants should verify that their</w:t>
      </w:r>
      <w:r w:rsidR="00FF021A">
        <w:t xml:space="preserve"> non</w:t>
      </w:r>
      <w:r w:rsidR="00374285">
        <w:t>-F</w:t>
      </w:r>
      <w:r w:rsidR="00FF021A">
        <w:t>ederal</w:t>
      </w:r>
      <w:r w:rsidR="00FF021A" w:rsidRPr="00FF021A">
        <w:t xml:space="preserve"> budgets reflect the costs allocations </w:t>
      </w:r>
      <w:r w:rsidR="00A95CC0">
        <w:t>a</w:t>
      </w:r>
      <w:r w:rsidR="00A95CC0" w:rsidRPr="00FF021A">
        <w:t>ppropriate</w:t>
      </w:r>
      <w:r w:rsidR="00FF021A">
        <w:t xml:space="preserve"> to each program.</w:t>
      </w:r>
    </w:p>
    <w:p w14:paraId="024F3FD8" w14:textId="5A97D817" w:rsidR="00E230BB" w:rsidRDefault="00E230BB" w:rsidP="00760288">
      <w:bookmarkStart w:id="12" w:name="_Hlk34830209"/>
      <w:r>
        <w:t xml:space="preserve">For the </w:t>
      </w:r>
      <w:r w:rsidR="00D003AF" w:rsidRPr="00F362E0">
        <w:rPr>
          <w:b/>
          <w:bCs/>
        </w:rPr>
        <w:t>Teacher Quality Partnership (</w:t>
      </w:r>
      <w:r w:rsidRPr="00000894">
        <w:rPr>
          <w:b/>
          <w:bCs/>
        </w:rPr>
        <w:t>TQP</w:t>
      </w:r>
      <w:r w:rsidR="00D003AF">
        <w:rPr>
          <w:b/>
          <w:bCs/>
        </w:rPr>
        <w:t>)</w:t>
      </w:r>
      <w:r w:rsidRPr="00FF021A">
        <w:rPr>
          <w:b/>
          <w:bCs/>
        </w:rPr>
        <w:t xml:space="preserve"> program</w:t>
      </w:r>
      <w:r w:rsidR="00FF021A">
        <w:t>,</w:t>
      </w:r>
      <w:r>
        <w:t xml:space="preserve"> applicants </w:t>
      </w:r>
      <w:r w:rsidR="0001069A">
        <w:t xml:space="preserve">should </w:t>
      </w:r>
      <w:r>
        <w:t xml:space="preserve">provide </w:t>
      </w:r>
      <w:r w:rsidR="00FF021A" w:rsidRPr="00FF021A">
        <w:t xml:space="preserve">from non-Federal sources, at least </w:t>
      </w:r>
      <w:r w:rsidR="00FF021A">
        <w:t>half</w:t>
      </w:r>
      <w:r w:rsidR="00FF021A" w:rsidRPr="00FF021A">
        <w:t xml:space="preserve"> of the total cost of their project for each </w:t>
      </w:r>
      <w:r w:rsidR="00FF021A">
        <w:t>budget period in order to meet the 100 percent non</w:t>
      </w:r>
      <w:r w:rsidR="00210F03">
        <w:t>-</w:t>
      </w:r>
      <w:r w:rsidR="0001069A">
        <w:t>Federal</w:t>
      </w:r>
      <w:r w:rsidR="00FF021A">
        <w:t xml:space="preserve"> </w:t>
      </w:r>
      <w:r w:rsidR="00CD7CB6" w:rsidRPr="00CD7CB6">
        <w:t>matching</w:t>
      </w:r>
      <w:r w:rsidR="009A6080">
        <w:t xml:space="preserve"> requirement</w:t>
      </w:r>
      <w:r w:rsidR="00CD7CB6" w:rsidRPr="00CD7CB6">
        <w:t xml:space="preserve"> </w:t>
      </w:r>
      <w:r w:rsidR="00FF021A">
        <w:t xml:space="preserve">as outlined in </w:t>
      </w:r>
      <w:r w:rsidR="00062F7C">
        <w:t>s</w:t>
      </w:r>
      <w:r w:rsidR="00F107BD" w:rsidRPr="00F107BD">
        <w:t>ection 203(c)</w:t>
      </w:r>
      <w:r w:rsidR="00722F9F">
        <w:t xml:space="preserve"> of the Higher Education Act of 1965, as amended (HEA)</w:t>
      </w:r>
      <w:r w:rsidR="00062F7C">
        <w:t>.</w:t>
      </w:r>
    </w:p>
    <w:bookmarkEnd w:id="12"/>
    <w:p w14:paraId="4D0E01FA" w14:textId="47B40152" w:rsidR="00E230BB" w:rsidRDefault="00FF021A" w:rsidP="00760288">
      <w:r w:rsidRPr="00FF021A">
        <w:t xml:space="preserve">For the </w:t>
      </w:r>
      <w:r w:rsidRPr="00FF021A">
        <w:rPr>
          <w:b/>
          <w:bCs/>
        </w:rPr>
        <w:t>T</w:t>
      </w:r>
      <w:r w:rsidR="00D003AF">
        <w:rPr>
          <w:b/>
          <w:bCs/>
        </w:rPr>
        <w:t xml:space="preserve">eacher and </w:t>
      </w:r>
      <w:r w:rsidRPr="00FF021A">
        <w:rPr>
          <w:b/>
          <w:bCs/>
        </w:rPr>
        <w:t>S</w:t>
      </w:r>
      <w:r w:rsidR="00D003AF">
        <w:rPr>
          <w:b/>
          <w:bCs/>
        </w:rPr>
        <w:t xml:space="preserve">chool </w:t>
      </w:r>
      <w:r w:rsidRPr="00FF021A">
        <w:rPr>
          <w:b/>
          <w:bCs/>
        </w:rPr>
        <w:t>L</w:t>
      </w:r>
      <w:r w:rsidR="00D003AF">
        <w:rPr>
          <w:b/>
          <w:bCs/>
        </w:rPr>
        <w:t xml:space="preserve">eader </w:t>
      </w:r>
      <w:r w:rsidR="00071640">
        <w:rPr>
          <w:b/>
          <w:bCs/>
        </w:rPr>
        <w:t>Incentive Fund (TSL)</w:t>
      </w:r>
      <w:r w:rsidRPr="00FF021A">
        <w:rPr>
          <w:b/>
          <w:bCs/>
        </w:rPr>
        <w:t xml:space="preserve"> program</w:t>
      </w:r>
      <w:r w:rsidRPr="00FF021A">
        <w:t xml:space="preserve">, applicants </w:t>
      </w:r>
      <w:r w:rsidR="004B3526">
        <w:t>should</w:t>
      </w:r>
      <w:r w:rsidR="004B3526" w:rsidRPr="00FF021A">
        <w:t xml:space="preserve"> </w:t>
      </w:r>
      <w:r w:rsidRPr="00FF021A">
        <w:t xml:space="preserve">provide from non-Federal sources, at least </w:t>
      </w:r>
      <w:r>
        <w:t>one-third</w:t>
      </w:r>
      <w:r w:rsidRPr="00FF021A">
        <w:t xml:space="preserve"> </w:t>
      </w:r>
      <w:r>
        <w:t xml:space="preserve">(1/3) </w:t>
      </w:r>
      <w:r w:rsidRPr="00FF021A">
        <w:t xml:space="preserve">of the total cost of their project for each budget period in order to meet the </w:t>
      </w:r>
      <w:r>
        <w:t>50</w:t>
      </w:r>
      <w:r w:rsidRPr="00FF021A">
        <w:t xml:space="preserve"> percent non</w:t>
      </w:r>
      <w:r w:rsidR="00912E84">
        <w:t>-F</w:t>
      </w:r>
      <w:r w:rsidRPr="00FF021A">
        <w:t xml:space="preserve">ederal </w:t>
      </w:r>
      <w:r w:rsidR="00DA362E" w:rsidRPr="00DA362E">
        <w:t xml:space="preserve">matching </w:t>
      </w:r>
      <w:r w:rsidR="00912E84">
        <w:t xml:space="preserve">requirement </w:t>
      </w:r>
      <w:r w:rsidRPr="00FF021A">
        <w:t xml:space="preserve">as outlined in </w:t>
      </w:r>
      <w:r w:rsidR="00722F9F">
        <w:t>s</w:t>
      </w:r>
      <w:r w:rsidRPr="00FF021A">
        <w:t>ection 2212(f)</w:t>
      </w:r>
      <w:r>
        <w:t xml:space="preserve"> of the </w:t>
      </w:r>
      <w:r w:rsidR="00722F9F">
        <w:t>Elementary and Secondary Education Act of 1965, as amended (ESEA)</w:t>
      </w:r>
      <w:r w:rsidRPr="00FF021A">
        <w:t>.</w:t>
      </w:r>
    </w:p>
    <w:p w14:paraId="7113076D" w14:textId="5FA37384" w:rsidR="00FF021A" w:rsidRDefault="00FF021A" w:rsidP="00760288">
      <w:r w:rsidRPr="00FF021A">
        <w:t xml:space="preserve">For the </w:t>
      </w:r>
      <w:r w:rsidR="00517F66" w:rsidRPr="00F362E0">
        <w:rPr>
          <w:b/>
          <w:bCs/>
        </w:rPr>
        <w:t>Supporting Effective Educator Development (</w:t>
      </w:r>
      <w:r w:rsidRPr="00000894">
        <w:rPr>
          <w:b/>
          <w:bCs/>
        </w:rPr>
        <w:t>SEED</w:t>
      </w:r>
      <w:r w:rsidR="00517F66">
        <w:rPr>
          <w:b/>
          <w:bCs/>
        </w:rPr>
        <w:t>)</w:t>
      </w:r>
      <w:r w:rsidRPr="00FF021A">
        <w:rPr>
          <w:b/>
          <w:bCs/>
        </w:rPr>
        <w:t xml:space="preserve"> program</w:t>
      </w:r>
      <w:r w:rsidRPr="00FF021A">
        <w:t xml:space="preserve">, applicants must provide from non-Federal sources, at least </w:t>
      </w:r>
      <w:r>
        <w:t xml:space="preserve">one quarter (1/4) </w:t>
      </w:r>
      <w:r w:rsidRPr="00FF021A">
        <w:t xml:space="preserve">of the total cost of their project for each budget period in order to meet the </w:t>
      </w:r>
      <w:r>
        <w:t>25</w:t>
      </w:r>
      <w:r w:rsidRPr="00FF021A">
        <w:t xml:space="preserve"> percent </w:t>
      </w:r>
      <w:r w:rsidR="00CC3FDF">
        <w:t>non-Federal</w:t>
      </w:r>
      <w:r w:rsidRPr="00FF021A">
        <w:t xml:space="preserve"> </w:t>
      </w:r>
      <w:r w:rsidR="00B00D45" w:rsidRPr="00B00D45">
        <w:t xml:space="preserve">cost share or matching </w:t>
      </w:r>
      <w:r w:rsidRPr="00FF021A">
        <w:t xml:space="preserve">as outlined in </w:t>
      </w:r>
      <w:r w:rsidR="00722F9F">
        <w:t>s</w:t>
      </w:r>
      <w:r w:rsidRPr="00FF021A">
        <w:t>ection 2242</w:t>
      </w:r>
      <w:r w:rsidR="00CA2CC0">
        <w:t>(c)</w:t>
      </w:r>
      <w:r>
        <w:t xml:space="preserve"> </w:t>
      </w:r>
      <w:r w:rsidRPr="00FF021A">
        <w:t>of the ESEA.</w:t>
      </w:r>
    </w:p>
    <w:p w14:paraId="3EAF3361" w14:textId="6650DDD5" w:rsidR="00CC2CA2" w:rsidRPr="008C514C" w:rsidRDefault="00CC2CA2" w:rsidP="00E230BB">
      <w:pPr>
        <w:pStyle w:val="Heading2"/>
        <w:ind w:left="0" w:firstLine="0"/>
      </w:pPr>
      <w:bookmarkStart w:id="13" w:name="_Toc474579303"/>
      <w:bookmarkStart w:id="14" w:name="_Toc474243033"/>
      <w:bookmarkStart w:id="15" w:name="_Toc475093273"/>
      <w:bookmarkEnd w:id="9"/>
      <w:r w:rsidRPr="008C514C">
        <w:t xml:space="preserve">2.  When must a grantee </w:t>
      </w:r>
      <w:r w:rsidR="00D65745">
        <w:t>identify</w:t>
      </w:r>
      <w:r w:rsidR="00D65745" w:rsidRPr="008C514C">
        <w:t xml:space="preserve"> </w:t>
      </w:r>
      <w:r w:rsidRPr="008C514C">
        <w:t xml:space="preserve">the required </w:t>
      </w:r>
      <w:r w:rsidR="00B33274" w:rsidRPr="00B33274">
        <w:t>cost share or matching</w:t>
      </w:r>
      <w:r w:rsidRPr="008C514C">
        <w:t>?</w:t>
      </w:r>
      <w:bookmarkEnd w:id="10"/>
      <w:bookmarkEnd w:id="13"/>
      <w:bookmarkEnd w:id="14"/>
      <w:bookmarkEnd w:id="15"/>
    </w:p>
    <w:p w14:paraId="40505ED0" w14:textId="18ADD580" w:rsidR="00DD0E0B" w:rsidRDefault="00CC0352" w:rsidP="00000894">
      <w:pPr>
        <w:ind w:firstLine="0"/>
      </w:pPr>
      <w:r>
        <w:rPr>
          <w:rFonts w:cs="Arial"/>
        </w:rPr>
        <w:t xml:space="preserve">A grantee must </w:t>
      </w:r>
      <w:r w:rsidR="00D65745">
        <w:rPr>
          <w:rFonts w:cs="Arial"/>
        </w:rPr>
        <w:t xml:space="preserve">identify </w:t>
      </w:r>
      <w:r>
        <w:rPr>
          <w:rFonts w:cs="Arial"/>
        </w:rPr>
        <w:t xml:space="preserve">the required </w:t>
      </w:r>
      <w:r w:rsidR="007A64C1" w:rsidRPr="007A64C1">
        <w:rPr>
          <w:rFonts w:cs="Arial"/>
        </w:rPr>
        <w:t>cost share or matching</w:t>
      </w:r>
      <w:r>
        <w:rPr>
          <w:rFonts w:cs="Arial"/>
        </w:rPr>
        <w:t xml:space="preserve"> funds at the time of application.  </w:t>
      </w:r>
      <w:r w:rsidR="00CC2CA2" w:rsidRPr="008C514C">
        <w:rPr>
          <w:rFonts w:cs="Arial"/>
        </w:rPr>
        <w:t xml:space="preserve">Each applicant must a provide a </w:t>
      </w:r>
      <w:r w:rsidR="00CC2CA2" w:rsidRPr="008C514C">
        <w:t xml:space="preserve">budget </w:t>
      </w:r>
      <w:r w:rsidR="00FF021A">
        <w:t xml:space="preserve">summary using the required </w:t>
      </w:r>
      <w:bookmarkStart w:id="16" w:name="_Hlk37103078"/>
      <w:r w:rsidR="00F362E0" w:rsidRPr="00F362E0">
        <w:rPr>
          <w:i/>
          <w:iCs/>
        </w:rPr>
        <w:t xml:space="preserve">EED Applicant </w:t>
      </w:r>
      <w:r w:rsidR="001853CF">
        <w:rPr>
          <w:i/>
          <w:iCs/>
        </w:rPr>
        <w:t>/</w:t>
      </w:r>
      <w:r w:rsidR="00F362E0" w:rsidRPr="00F362E0">
        <w:rPr>
          <w:i/>
          <w:iCs/>
        </w:rPr>
        <w:t>Grantee</w:t>
      </w:r>
      <w:r w:rsidR="00F362E0">
        <w:t xml:space="preserve"> </w:t>
      </w:r>
      <w:r w:rsidR="00FF021A" w:rsidRPr="00996BD0">
        <w:rPr>
          <w:i/>
          <w:iCs/>
        </w:rPr>
        <w:t>Budget Worksheet</w:t>
      </w:r>
      <w:r w:rsidR="00FF021A">
        <w:t xml:space="preserve"> </w:t>
      </w:r>
      <w:bookmarkEnd w:id="16"/>
      <w:r w:rsidR="00CC2CA2">
        <w:t xml:space="preserve">and </w:t>
      </w:r>
      <w:r>
        <w:t xml:space="preserve">a </w:t>
      </w:r>
      <w:r w:rsidR="00CC2CA2">
        <w:t>budget narrative</w:t>
      </w:r>
      <w:r w:rsidR="00CC2CA2" w:rsidRPr="008C514C">
        <w:t xml:space="preserve"> which identifies both </w:t>
      </w:r>
      <w:r>
        <w:t xml:space="preserve">federal and </w:t>
      </w:r>
      <w:bookmarkStart w:id="17" w:name="_Hlk37102950"/>
      <w:r w:rsidR="00CC3FDF">
        <w:t>non-Federal</w:t>
      </w:r>
      <w:r>
        <w:t xml:space="preserve"> </w:t>
      </w:r>
      <w:bookmarkEnd w:id="17"/>
      <w:r>
        <w:t>costs for each budget period.</w:t>
      </w:r>
      <w:r w:rsidR="005E37E0">
        <w:t xml:space="preserve"> This new </w:t>
      </w:r>
      <w:r w:rsidR="00F362E0" w:rsidRPr="00F362E0">
        <w:rPr>
          <w:i/>
          <w:iCs/>
        </w:rPr>
        <w:t xml:space="preserve">EED Applicant </w:t>
      </w:r>
      <w:r w:rsidR="001853CF">
        <w:rPr>
          <w:i/>
          <w:iCs/>
        </w:rPr>
        <w:t>/</w:t>
      </w:r>
      <w:r w:rsidR="00F362E0" w:rsidRPr="00F362E0">
        <w:rPr>
          <w:i/>
          <w:iCs/>
        </w:rPr>
        <w:t xml:space="preserve">Grantee Budget Worksheet  </w:t>
      </w:r>
      <w:r w:rsidR="005E37E0">
        <w:t>is a change from years past</w:t>
      </w:r>
      <w:r w:rsidR="007F1BDE">
        <w:t xml:space="preserve"> and previously was not required.</w:t>
      </w:r>
      <w:r>
        <w:t xml:space="preserve"> Submission of the required </w:t>
      </w:r>
      <w:r w:rsidR="00F362E0" w:rsidRPr="00F362E0">
        <w:rPr>
          <w:i/>
          <w:iCs/>
        </w:rPr>
        <w:t xml:space="preserve">EED Applicant </w:t>
      </w:r>
      <w:r w:rsidR="001853CF">
        <w:rPr>
          <w:i/>
          <w:iCs/>
        </w:rPr>
        <w:t>/</w:t>
      </w:r>
      <w:r w:rsidR="00F362E0" w:rsidRPr="00F362E0">
        <w:rPr>
          <w:i/>
          <w:iCs/>
        </w:rPr>
        <w:t xml:space="preserve">Grantee Budget Worksheet  </w:t>
      </w:r>
      <w:r>
        <w:t xml:space="preserve">serves as confirmation that </w:t>
      </w:r>
      <w:r w:rsidR="00CC3FDF">
        <w:t>non-Federal</w:t>
      </w:r>
      <w:r>
        <w:t xml:space="preserve"> fun</w:t>
      </w:r>
      <w:r w:rsidR="00F362E0">
        <w:t>d</w:t>
      </w:r>
      <w:r>
        <w:t xml:space="preserve">s have been secured and will be available at the time of award if the applicant is successful.  </w:t>
      </w:r>
    </w:p>
    <w:p w14:paraId="6252E940" w14:textId="42FB72CE" w:rsidR="00CC2CA2" w:rsidRPr="002A7128" w:rsidRDefault="00CC0352" w:rsidP="00000894">
      <w:pPr>
        <w:ind w:firstLine="0"/>
        <w:rPr>
          <w:b/>
          <w:bCs/>
        </w:rPr>
      </w:pPr>
      <w:r>
        <w:t xml:space="preserve"> </w:t>
      </w:r>
      <w:r w:rsidR="00001772" w:rsidRPr="002A7128">
        <w:rPr>
          <w:b/>
          <w:bCs/>
        </w:rPr>
        <w:t xml:space="preserve">3.  </w:t>
      </w:r>
      <w:r w:rsidR="00BF1ED0" w:rsidRPr="002A7128">
        <w:rPr>
          <w:b/>
          <w:bCs/>
        </w:rPr>
        <w:t>Do factors in the selection criter</w:t>
      </w:r>
      <w:r w:rsidR="00C17E6E" w:rsidRPr="002A7128">
        <w:rPr>
          <w:b/>
          <w:bCs/>
        </w:rPr>
        <w:t>ia</w:t>
      </w:r>
      <w:r w:rsidR="00BF1ED0" w:rsidRPr="002A7128">
        <w:rPr>
          <w:b/>
          <w:bCs/>
        </w:rPr>
        <w:t xml:space="preserve"> </w:t>
      </w:r>
      <w:r w:rsidR="002A7128" w:rsidRPr="002A7128">
        <w:rPr>
          <w:b/>
          <w:bCs/>
        </w:rPr>
        <w:t>consider</w:t>
      </w:r>
      <w:r w:rsidR="002A7128">
        <w:rPr>
          <w:b/>
          <w:bCs/>
        </w:rPr>
        <w:t xml:space="preserve"> whether the</w:t>
      </w:r>
      <w:r w:rsidR="00BF1ED0" w:rsidRPr="002A7128">
        <w:rPr>
          <w:b/>
          <w:bCs/>
        </w:rPr>
        <w:t xml:space="preserve"> </w:t>
      </w:r>
      <w:r w:rsidR="00B33274" w:rsidRPr="002A7128">
        <w:rPr>
          <w:b/>
          <w:bCs/>
        </w:rPr>
        <w:t>cost share or matching</w:t>
      </w:r>
      <w:r w:rsidR="00001772" w:rsidRPr="002A7128">
        <w:rPr>
          <w:b/>
          <w:bCs/>
        </w:rPr>
        <w:t xml:space="preserve"> requirement </w:t>
      </w:r>
      <w:r w:rsidR="002A7128">
        <w:rPr>
          <w:b/>
          <w:bCs/>
        </w:rPr>
        <w:t>h</w:t>
      </w:r>
      <w:r w:rsidR="00EC06F5" w:rsidRPr="002A7128">
        <w:rPr>
          <w:b/>
          <w:bCs/>
        </w:rPr>
        <w:t xml:space="preserve">as </w:t>
      </w:r>
      <w:r w:rsidR="002A7128">
        <w:rPr>
          <w:b/>
          <w:bCs/>
        </w:rPr>
        <w:t xml:space="preserve">been met?  </w:t>
      </w:r>
    </w:p>
    <w:p w14:paraId="2AF5B328" w14:textId="6B78686D" w:rsidR="002A7128" w:rsidRDefault="00001772">
      <w:pPr>
        <w:ind w:firstLine="0"/>
      </w:pPr>
      <w:r>
        <w:t>Yes.  T</w:t>
      </w:r>
      <w:r w:rsidR="00601261">
        <w:t xml:space="preserve">he NIA </w:t>
      </w:r>
      <w:r w:rsidR="005A39F8">
        <w:t xml:space="preserve">selection </w:t>
      </w:r>
      <w:r w:rsidR="00EE6732">
        <w:t>criteria</w:t>
      </w:r>
      <w:r>
        <w:t xml:space="preserve"> for all programs</w:t>
      </w:r>
      <w:r w:rsidR="002A7128" w:rsidRPr="002A7128">
        <w:t xml:space="preserve"> includes</w:t>
      </w:r>
      <w:r w:rsidR="002A7128">
        <w:t xml:space="preserve"> sub</w:t>
      </w:r>
      <w:r w:rsidR="002A7128" w:rsidRPr="002A7128">
        <w:t xml:space="preserve"> factors such as “the adequacy of support, including facilities, equipment, supplies, and other resources, from the applicant organization or the lead applicant organization”</w:t>
      </w:r>
      <w:r w:rsidR="002A7128">
        <w:t>;</w:t>
      </w:r>
      <w:r w:rsidR="002A7128" w:rsidRPr="002A7128">
        <w:t xml:space="preserve"> “The extent to which the applicant demonstrates that it has the resources to operate the project beyond the length of the grant, including a multi-year financial and operating model, and accompanying plan; and the demonstrated commitment of any partners…”</w:t>
      </w:r>
      <w:r w:rsidR="002A7128">
        <w:t xml:space="preserve">; and </w:t>
      </w:r>
      <w:r w:rsidR="002A7128" w:rsidRPr="002A7128">
        <w:t xml:space="preserve"> “The adequacy of the management plan to achieve the objectives of the proposed project on time and within budget….”  which may include a consideration of demonstrated matching support.</w:t>
      </w:r>
    </w:p>
    <w:p w14:paraId="25CA33F8" w14:textId="27B7B3C7" w:rsidR="00CC2CA2" w:rsidRPr="008C514C" w:rsidRDefault="00625DED" w:rsidP="00E230BB">
      <w:pPr>
        <w:pStyle w:val="Heading2"/>
        <w:ind w:left="720"/>
      </w:pPr>
      <w:bookmarkStart w:id="18" w:name="_Toc473899560"/>
      <w:bookmarkStart w:id="19" w:name="_Toc474579305"/>
      <w:bookmarkStart w:id="20" w:name="_Toc474243035"/>
      <w:bookmarkStart w:id="21" w:name="_Toc475093275"/>
      <w:r>
        <w:lastRenderedPageBreak/>
        <w:t>3</w:t>
      </w:r>
      <w:r w:rsidR="00CC2CA2" w:rsidRPr="008C514C">
        <w:t xml:space="preserve">.  May an applicant request that the Secretary reduce the required level of </w:t>
      </w:r>
      <w:r w:rsidR="00B33274" w:rsidRPr="00B33274">
        <w:t>cost share or matching</w:t>
      </w:r>
      <w:r w:rsidR="00CC2CA2" w:rsidRPr="008C514C">
        <w:t>?</w:t>
      </w:r>
      <w:bookmarkEnd w:id="18"/>
      <w:bookmarkEnd w:id="19"/>
      <w:bookmarkEnd w:id="20"/>
      <w:bookmarkEnd w:id="21"/>
    </w:p>
    <w:p w14:paraId="5938798C" w14:textId="4CDCE126" w:rsidR="00CC2CA2" w:rsidRDefault="00CC2CA2" w:rsidP="001853CF">
      <w:pPr>
        <w:ind w:firstLine="0"/>
        <w:rPr>
          <w:rFonts w:cs="Arial"/>
        </w:rPr>
      </w:pPr>
      <w:r w:rsidRPr="008C514C">
        <w:rPr>
          <w:rFonts w:cs="Arial"/>
        </w:rPr>
        <w:t xml:space="preserve">Yes. </w:t>
      </w:r>
      <w:r>
        <w:rPr>
          <w:rFonts w:cs="Arial"/>
        </w:rPr>
        <w:t xml:space="preserve"> </w:t>
      </w:r>
      <w:r w:rsidR="00001772">
        <w:rPr>
          <w:rFonts w:cs="Arial"/>
        </w:rPr>
        <w:t xml:space="preserve">However, </w:t>
      </w:r>
      <w:r w:rsidR="00001772">
        <w:t>t</w:t>
      </w:r>
      <w:r w:rsidR="00BC7B67">
        <w:t xml:space="preserve">he Secretary </w:t>
      </w:r>
      <w:r w:rsidR="00BC7B67" w:rsidRPr="00001772">
        <w:rPr>
          <w:b/>
          <w:bCs/>
        </w:rPr>
        <w:t>does not</w:t>
      </w:r>
      <w:r w:rsidR="000A12B6">
        <w:t>, as a general matter, anticipate waiving this requirement. F</w:t>
      </w:r>
      <w:r w:rsidR="00E30A44">
        <w:t xml:space="preserve">urthermore, given the importance of </w:t>
      </w:r>
      <w:r w:rsidR="00934684">
        <w:t>cost-sharing to the long-term success and sustain</w:t>
      </w:r>
      <w:r w:rsidR="009A2535">
        <w:t xml:space="preserve">ability of the </w:t>
      </w:r>
      <w:r w:rsidR="00001772">
        <w:t xml:space="preserve">proposed </w:t>
      </w:r>
      <w:r w:rsidR="009A2535">
        <w:t xml:space="preserve">project; applicants must identify appropriate matching funds in the </w:t>
      </w:r>
      <w:r w:rsidR="00412549">
        <w:t xml:space="preserve">proposed budget. </w:t>
      </w:r>
      <w:r w:rsidRPr="008C514C">
        <w:t xml:space="preserve"> </w:t>
      </w:r>
      <w:r w:rsidRPr="00C40DD1">
        <w:rPr>
          <w:rFonts w:cs="Arial"/>
        </w:rPr>
        <w:t xml:space="preserve">An applicant that </w:t>
      </w:r>
      <w:r w:rsidR="00936ABE">
        <w:rPr>
          <w:rFonts w:cs="Arial"/>
        </w:rPr>
        <w:t>anticipates the need to</w:t>
      </w:r>
      <w:r w:rsidR="00412549">
        <w:rPr>
          <w:rFonts w:cs="Arial"/>
        </w:rPr>
        <w:t xml:space="preserve"> seek a waiver, </w:t>
      </w:r>
      <w:r>
        <w:rPr>
          <w:rFonts w:cs="Arial"/>
        </w:rPr>
        <w:t xml:space="preserve">should </w:t>
      </w:r>
      <w:r w:rsidRPr="00C40DD1">
        <w:rPr>
          <w:rFonts w:cs="Arial"/>
        </w:rPr>
        <w:t>include</w:t>
      </w:r>
      <w:r>
        <w:rPr>
          <w:rFonts w:cs="Arial"/>
        </w:rPr>
        <w:t xml:space="preserve"> with </w:t>
      </w:r>
      <w:r w:rsidRPr="00C40DD1">
        <w:rPr>
          <w:rFonts w:cs="Arial"/>
        </w:rPr>
        <w:t>the application</w:t>
      </w:r>
      <w:r w:rsidR="00936ABE">
        <w:rPr>
          <w:rFonts w:cs="Arial"/>
        </w:rPr>
        <w:t>,</w:t>
      </w:r>
      <w:r w:rsidRPr="00C40DD1">
        <w:rPr>
          <w:rFonts w:cs="Arial"/>
        </w:rPr>
        <w:t xml:space="preserve"> a request </w:t>
      </w:r>
      <w:r w:rsidR="00936ABE">
        <w:rPr>
          <w:rFonts w:cs="Arial"/>
        </w:rPr>
        <w:t>to</w:t>
      </w:r>
      <w:r w:rsidRPr="00C40DD1">
        <w:rPr>
          <w:rFonts w:cs="Arial"/>
        </w:rPr>
        <w:t xml:space="preserve"> reduce the matching requirement, along with a </w:t>
      </w:r>
      <w:r w:rsidR="00BB7938">
        <w:rPr>
          <w:rFonts w:cs="Arial"/>
        </w:rPr>
        <w:t xml:space="preserve">justification for the request.  </w:t>
      </w:r>
      <w:r w:rsidRPr="00C40DD1">
        <w:rPr>
          <w:rFonts w:cs="Arial"/>
        </w:rPr>
        <w:t xml:space="preserve"> </w:t>
      </w:r>
    </w:p>
    <w:p w14:paraId="023A26C4" w14:textId="2CC3CEE2" w:rsidR="00B8063A" w:rsidRPr="008C514C" w:rsidRDefault="00625DED" w:rsidP="00E230BB">
      <w:pPr>
        <w:pStyle w:val="Heading2"/>
        <w:ind w:left="0" w:firstLine="0"/>
      </w:pPr>
      <w:bookmarkStart w:id="22" w:name="_Toc473899562"/>
      <w:bookmarkStart w:id="23" w:name="_Toc474579306"/>
      <w:bookmarkStart w:id="24" w:name="_Toc474243036"/>
      <w:bookmarkStart w:id="25" w:name="_Toc475093276"/>
      <w:r>
        <w:t>4</w:t>
      </w:r>
      <w:r w:rsidR="00B8063A" w:rsidRPr="008C514C">
        <w:t xml:space="preserve">.  </w:t>
      </w:r>
      <w:r w:rsidR="00B8063A">
        <w:t xml:space="preserve">Should applicants submit </w:t>
      </w:r>
      <w:r w:rsidR="00DC03C3">
        <w:t xml:space="preserve">just a Year 1 budget </w:t>
      </w:r>
      <w:r w:rsidR="00B43C0A">
        <w:t>that includes</w:t>
      </w:r>
      <w:r w:rsidR="00DC03C3">
        <w:t xml:space="preserve"> </w:t>
      </w:r>
      <w:r w:rsidR="007A1364" w:rsidRPr="007A1364">
        <w:t>cost share or match</w:t>
      </w:r>
      <w:r w:rsidR="002A60D6">
        <w:t>ing</w:t>
      </w:r>
      <w:r w:rsidR="00DC03C3">
        <w:t xml:space="preserve">, or submit </w:t>
      </w:r>
      <w:r w:rsidR="00532311">
        <w:t xml:space="preserve">a </w:t>
      </w:r>
      <w:r w:rsidR="00DC03C3">
        <w:t xml:space="preserve">budget </w:t>
      </w:r>
      <w:r w:rsidR="00B43C0A">
        <w:t xml:space="preserve">that includes </w:t>
      </w:r>
      <w:r w:rsidR="00B33274" w:rsidRPr="00B33274">
        <w:t>cost share or matching</w:t>
      </w:r>
      <w:r w:rsidR="002B2DF0">
        <w:t xml:space="preserve"> that reflects the </w:t>
      </w:r>
      <w:r w:rsidR="00E63F84">
        <w:t xml:space="preserve">entire project performance period? </w:t>
      </w:r>
    </w:p>
    <w:p w14:paraId="0BEDCDF3" w14:textId="1A53E861" w:rsidR="00B8063A" w:rsidRDefault="00E63F84" w:rsidP="001853CF">
      <w:pPr>
        <w:ind w:firstLine="0"/>
        <w:rPr>
          <w:rFonts w:cs="Arial"/>
        </w:rPr>
      </w:pPr>
      <w:r>
        <w:rPr>
          <w:rFonts w:cs="Arial"/>
        </w:rPr>
        <w:t xml:space="preserve">Applicants should submit a multi-year </w:t>
      </w:r>
      <w:r w:rsidR="00337ACF">
        <w:rPr>
          <w:rFonts w:cs="Arial"/>
        </w:rPr>
        <w:t xml:space="preserve">budget for </w:t>
      </w:r>
      <w:r w:rsidR="00B57509">
        <w:rPr>
          <w:rFonts w:cs="Arial"/>
        </w:rPr>
        <w:t>the entire proposed project performance period</w:t>
      </w:r>
      <w:r w:rsidR="00BB7938">
        <w:rPr>
          <w:rFonts w:cs="Arial"/>
        </w:rPr>
        <w:t>.</w:t>
      </w:r>
      <w:r w:rsidR="00496E2C">
        <w:rPr>
          <w:rFonts w:cs="Arial"/>
        </w:rPr>
        <w:t xml:space="preserve"> For TQP submit a 5-year budget. For TSL, submit a 3-year budget. For SEED, submit a </w:t>
      </w:r>
      <w:r w:rsidR="00DD0E0B">
        <w:rPr>
          <w:rFonts w:cs="Arial"/>
        </w:rPr>
        <w:t>3-year</w:t>
      </w:r>
      <w:r w:rsidR="00496E2C">
        <w:rPr>
          <w:rFonts w:cs="Arial"/>
        </w:rPr>
        <w:t xml:space="preserve"> budget.</w:t>
      </w:r>
      <w:r w:rsidR="00BB7938">
        <w:rPr>
          <w:rFonts w:cs="Arial"/>
        </w:rPr>
        <w:t xml:space="preserve">  This budget should include both </w:t>
      </w:r>
      <w:r w:rsidR="00946F22">
        <w:rPr>
          <w:rFonts w:cs="Arial"/>
        </w:rPr>
        <w:t xml:space="preserve">Federal </w:t>
      </w:r>
      <w:r w:rsidR="00BB7938">
        <w:rPr>
          <w:rFonts w:cs="Arial"/>
        </w:rPr>
        <w:t>and non</w:t>
      </w:r>
      <w:r w:rsidR="00946F22">
        <w:rPr>
          <w:rFonts w:cs="Arial"/>
        </w:rPr>
        <w:t>-Federal</w:t>
      </w:r>
      <w:r w:rsidR="00BB7938">
        <w:rPr>
          <w:rFonts w:cs="Arial"/>
        </w:rPr>
        <w:t xml:space="preserve"> funds for each year of the project period.</w:t>
      </w:r>
      <w:r w:rsidR="00B57509">
        <w:rPr>
          <w:rFonts w:cs="Arial"/>
        </w:rPr>
        <w:t xml:space="preserve"> </w:t>
      </w:r>
    </w:p>
    <w:p w14:paraId="200682C5" w14:textId="69585A71" w:rsidR="001853CF" w:rsidRDefault="001853CF" w:rsidP="001853CF">
      <w:pPr>
        <w:ind w:firstLine="0"/>
        <w:rPr>
          <w:rFonts w:cs="Arial"/>
        </w:rPr>
      </w:pPr>
      <w:r>
        <w:rPr>
          <w:rFonts w:cs="Arial"/>
        </w:rPr>
        <w:t>Applicants should use the new Required EED Applicant/Grantee Budget Worksheet to complete a budget summary and budget narrative for both federal and nonfederal funds.  This required budget worksheet is found on the program webpage and should be submitted in the Budget Narrative Attachment section of your application.</w:t>
      </w:r>
    </w:p>
    <w:p w14:paraId="4110410A" w14:textId="08DEA2C5" w:rsidR="00EC10A0" w:rsidRPr="008C514C" w:rsidRDefault="00625DED" w:rsidP="00E230BB">
      <w:pPr>
        <w:pStyle w:val="Heading2"/>
        <w:ind w:left="0" w:firstLine="0"/>
      </w:pPr>
      <w:bookmarkStart w:id="26" w:name="_Toc473899563"/>
      <w:bookmarkStart w:id="27" w:name="_Toc474579307"/>
      <w:bookmarkStart w:id="28" w:name="_Toc474243037"/>
      <w:bookmarkStart w:id="29" w:name="_Toc475093277"/>
      <w:r>
        <w:t>5</w:t>
      </w:r>
      <w:r w:rsidR="00EC10A0" w:rsidRPr="008C514C">
        <w:t>.</w:t>
      </w:r>
      <w:r w:rsidR="00EC10A0">
        <w:t xml:space="preserve">  </w:t>
      </w:r>
      <w:r w:rsidR="00EC10A0" w:rsidRPr="008C514C">
        <w:t>May more than one partner or other entit</w:t>
      </w:r>
      <w:r w:rsidR="00EC10A0">
        <w:t xml:space="preserve">y </w:t>
      </w:r>
      <w:r w:rsidR="00EC10A0" w:rsidRPr="008C514C">
        <w:t xml:space="preserve">contribute toward the non-Federal </w:t>
      </w:r>
      <w:r w:rsidR="00787EAA" w:rsidRPr="00787EAA">
        <w:t>cost share or matching</w:t>
      </w:r>
      <w:r w:rsidR="00EC10A0" w:rsidRPr="008C514C">
        <w:t>?</w:t>
      </w:r>
      <w:bookmarkEnd w:id="26"/>
      <w:bookmarkEnd w:id="27"/>
      <w:bookmarkEnd w:id="28"/>
      <w:bookmarkEnd w:id="29"/>
      <w:r w:rsidR="00EC10A0" w:rsidRPr="00744989">
        <w:t xml:space="preserve"> </w:t>
      </w:r>
    </w:p>
    <w:p w14:paraId="66BE48FA" w14:textId="2EF18D2D" w:rsidR="00EC10A0" w:rsidRPr="008C514C" w:rsidRDefault="00772EAA" w:rsidP="001853CF">
      <w:pPr>
        <w:ind w:firstLine="0"/>
        <w:rPr>
          <w:rFonts w:cs="Arial"/>
        </w:rPr>
      </w:pPr>
      <w:r>
        <w:rPr>
          <w:rFonts w:cs="Arial"/>
        </w:rPr>
        <w:t xml:space="preserve">Yes. </w:t>
      </w:r>
      <w:r w:rsidR="008A2E6F">
        <w:rPr>
          <w:rFonts w:cs="Arial"/>
        </w:rPr>
        <w:t>C</w:t>
      </w:r>
      <w:r w:rsidR="008A2E6F" w:rsidRPr="008A2E6F">
        <w:rPr>
          <w:rFonts w:cs="Arial"/>
        </w:rPr>
        <w:t>ost share or matching</w:t>
      </w:r>
      <w:r w:rsidR="00EC10A0" w:rsidRPr="008C514C" w:rsidDel="0070514A">
        <w:rPr>
          <w:rFonts w:cs="Arial"/>
        </w:rPr>
        <w:t xml:space="preserve"> funds </w:t>
      </w:r>
      <w:r w:rsidR="00EC10A0">
        <w:rPr>
          <w:rFonts w:cs="Arial"/>
        </w:rPr>
        <w:t xml:space="preserve">(cash or in-kind) </w:t>
      </w:r>
      <w:r w:rsidR="00EC10A0" w:rsidRPr="008C514C" w:rsidDel="0070514A">
        <w:rPr>
          <w:rFonts w:cs="Arial"/>
        </w:rPr>
        <w:t xml:space="preserve">may come from </w:t>
      </w:r>
      <w:r w:rsidR="00EC10A0">
        <w:rPr>
          <w:rFonts w:cs="Arial"/>
        </w:rPr>
        <w:t xml:space="preserve">one or more </w:t>
      </w:r>
      <w:r w:rsidR="00EC10A0" w:rsidRPr="008C514C" w:rsidDel="0070514A">
        <w:rPr>
          <w:rFonts w:cs="Arial"/>
        </w:rPr>
        <w:t xml:space="preserve">entity or </w:t>
      </w:r>
      <w:r w:rsidR="00EC10A0" w:rsidRPr="008C514C">
        <w:rPr>
          <w:rFonts w:cs="Arial"/>
        </w:rPr>
        <w:t>partner</w:t>
      </w:r>
      <w:r w:rsidR="00EC10A0">
        <w:rPr>
          <w:rFonts w:cs="Arial"/>
        </w:rPr>
        <w:t xml:space="preserve">; not all partners </w:t>
      </w:r>
      <w:r w:rsidR="00BB7938">
        <w:rPr>
          <w:rFonts w:cs="Arial"/>
        </w:rPr>
        <w:t xml:space="preserve">are required to </w:t>
      </w:r>
      <w:r w:rsidR="00EC10A0">
        <w:rPr>
          <w:rFonts w:cs="Arial"/>
        </w:rPr>
        <w:t xml:space="preserve">contribute towards </w:t>
      </w:r>
      <w:r w:rsidR="00A343E8" w:rsidRPr="00A343E8">
        <w:rPr>
          <w:rFonts w:cs="Arial"/>
        </w:rPr>
        <w:t>cost share or matching</w:t>
      </w:r>
      <w:r w:rsidR="00A343E8">
        <w:rPr>
          <w:rFonts w:cs="Arial"/>
        </w:rPr>
        <w:t>.</w:t>
      </w:r>
    </w:p>
    <w:bookmarkEnd w:id="22"/>
    <w:bookmarkEnd w:id="23"/>
    <w:bookmarkEnd w:id="24"/>
    <w:bookmarkEnd w:id="25"/>
    <w:p w14:paraId="01509BB7" w14:textId="6BD7DEF1" w:rsidR="009B6FB6" w:rsidRPr="008C514C" w:rsidRDefault="00625DED" w:rsidP="00E230BB">
      <w:pPr>
        <w:pStyle w:val="Heading2"/>
        <w:tabs>
          <w:tab w:val="left" w:pos="720"/>
        </w:tabs>
        <w:ind w:left="0" w:firstLine="0"/>
      </w:pPr>
      <w:r>
        <w:t>6</w:t>
      </w:r>
      <w:r w:rsidR="009B6FB6" w:rsidRPr="008C514C">
        <w:t xml:space="preserve">.  </w:t>
      </w:r>
      <w:r w:rsidR="00A23B6A">
        <w:t xml:space="preserve">Are there limitations on the </w:t>
      </w:r>
      <w:r w:rsidR="009B6FB6" w:rsidRPr="008C514C">
        <w:t xml:space="preserve">funds or in-kind contributions </w:t>
      </w:r>
      <w:r w:rsidR="00216919">
        <w:t xml:space="preserve">that </w:t>
      </w:r>
      <w:r w:rsidR="009B6FB6" w:rsidRPr="008C514C">
        <w:t xml:space="preserve">may count towards meeting the </w:t>
      </w:r>
      <w:r w:rsidR="00B33274" w:rsidRPr="00B33274">
        <w:t>cost share or matching</w:t>
      </w:r>
      <w:r w:rsidR="009B6FB6" w:rsidRPr="008C514C">
        <w:t xml:space="preserve"> requirement?</w:t>
      </w:r>
    </w:p>
    <w:p w14:paraId="0C72679E" w14:textId="53859CB3" w:rsidR="009B6FB6" w:rsidRDefault="00AE4979" w:rsidP="001853CF">
      <w:pPr>
        <w:ind w:firstLine="0"/>
        <w:rPr>
          <w:rFonts w:cs="Arial"/>
        </w:rPr>
      </w:pPr>
      <w:r>
        <w:rPr>
          <w:rFonts w:cs="Arial"/>
        </w:rPr>
        <w:t xml:space="preserve">Yes. </w:t>
      </w:r>
      <w:r w:rsidR="00045255">
        <w:rPr>
          <w:rFonts w:cs="Arial"/>
        </w:rPr>
        <w:t>What can be</w:t>
      </w:r>
      <w:r>
        <w:rPr>
          <w:rFonts w:cs="Arial"/>
        </w:rPr>
        <w:t xml:space="preserve"> appropriately</w:t>
      </w:r>
      <w:r w:rsidR="00045255">
        <w:rPr>
          <w:rFonts w:cs="Arial"/>
        </w:rPr>
        <w:t xml:space="preserve"> </w:t>
      </w:r>
      <w:r w:rsidR="004B65CB">
        <w:rPr>
          <w:rFonts w:cs="Arial"/>
        </w:rPr>
        <w:t>included</w:t>
      </w:r>
      <w:r w:rsidR="004B760C">
        <w:rPr>
          <w:rFonts w:cs="Arial"/>
        </w:rPr>
        <w:t xml:space="preserve"> as m</w:t>
      </w:r>
      <w:r w:rsidR="009B6FB6">
        <w:rPr>
          <w:rFonts w:cs="Arial"/>
        </w:rPr>
        <w:t>atching funds are governed by</w:t>
      </w:r>
      <w:r w:rsidR="004B760C">
        <w:rPr>
          <w:rFonts w:cs="Arial"/>
        </w:rPr>
        <w:t xml:space="preserve"> the program statute and the cost principles</w:t>
      </w:r>
      <w:r w:rsidR="001224D6">
        <w:rPr>
          <w:rFonts w:cs="Arial"/>
        </w:rPr>
        <w:t xml:space="preserve"> found</w:t>
      </w:r>
      <w:r w:rsidR="004B760C">
        <w:rPr>
          <w:rFonts w:cs="Arial"/>
        </w:rPr>
        <w:t xml:space="preserve"> in Subpart E of </w:t>
      </w:r>
      <w:r w:rsidR="009B6FB6">
        <w:rPr>
          <w:rFonts w:cs="Arial"/>
        </w:rPr>
        <w:t xml:space="preserve">2 CFR part 200, the </w:t>
      </w:r>
      <w:r w:rsidR="009B6FB6" w:rsidRPr="002E322B">
        <w:rPr>
          <w:rFonts w:cs="Arial"/>
          <w:i/>
          <w:iCs/>
        </w:rPr>
        <w:t xml:space="preserve">Uniform Administrative Requirements, Costs Principles </w:t>
      </w:r>
      <w:r w:rsidR="009B6FB6">
        <w:rPr>
          <w:rFonts w:cs="Arial"/>
          <w:i/>
          <w:iCs/>
        </w:rPr>
        <w:t>a</w:t>
      </w:r>
      <w:r w:rsidR="009B6FB6" w:rsidRPr="002E322B">
        <w:rPr>
          <w:rFonts w:cs="Arial"/>
          <w:i/>
          <w:iCs/>
        </w:rPr>
        <w:t xml:space="preserve">nd Audit Requirements </w:t>
      </w:r>
      <w:r w:rsidR="009B6FB6">
        <w:rPr>
          <w:rFonts w:cs="Arial"/>
          <w:i/>
          <w:iCs/>
        </w:rPr>
        <w:t>f</w:t>
      </w:r>
      <w:r w:rsidR="009B6FB6" w:rsidRPr="002E322B">
        <w:rPr>
          <w:rFonts w:cs="Arial"/>
          <w:i/>
          <w:iCs/>
        </w:rPr>
        <w:t>or Federal Awards</w:t>
      </w:r>
      <w:r w:rsidR="009B6FB6">
        <w:rPr>
          <w:rFonts w:cs="Arial"/>
        </w:rPr>
        <w:t xml:space="preserve"> (Uniform Guidance). </w:t>
      </w:r>
      <w:r w:rsidR="004B760C">
        <w:rPr>
          <w:rFonts w:cs="Arial"/>
        </w:rPr>
        <w:t xml:space="preserve">The Uniform Guidance requires </w:t>
      </w:r>
      <w:r w:rsidR="009B6FB6">
        <w:rPr>
          <w:rFonts w:cs="Arial"/>
        </w:rPr>
        <w:t>that funds used t</w:t>
      </w:r>
      <w:r w:rsidR="00BB7938">
        <w:rPr>
          <w:rFonts w:cs="Arial"/>
        </w:rPr>
        <w:t>o</w:t>
      </w:r>
      <w:r w:rsidR="009B6FB6">
        <w:rPr>
          <w:rFonts w:cs="Arial"/>
        </w:rPr>
        <w:t xml:space="preserve"> meet</w:t>
      </w:r>
      <w:r w:rsidR="00A7445B" w:rsidRPr="00A7445B">
        <w:t xml:space="preserve"> </w:t>
      </w:r>
      <w:r w:rsidR="00A7445B" w:rsidRPr="00A7445B">
        <w:rPr>
          <w:rFonts w:cs="Arial"/>
        </w:rPr>
        <w:t>cost share or matching</w:t>
      </w:r>
      <w:r w:rsidR="009B6FB6">
        <w:rPr>
          <w:rFonts w:cs="Arial"/>
        </w:rPr>
        <w:t xml:space="preserve"> requirements</w:t>
      </w:r>
      <w:r w:rsidR="00D820B4">
        <w:rPr>
          <w:rFonts w:cs="Arial"/>
        </w:rPr>
        <w:t xml:space="preserve"> must</w:t>
      </w:r>
      <w:r w:rsidR="009B6FB6">
        <w:rPr>
          <w:rFonts w:cs="Arial"/>
        </w:rPr>
        <w:t xml:space="preserve"> be allowable as if they were paid for with Federal grant funds. See</w:t>
      </w:r>
      <w:r w:rsidR="009B6FB6" w:rsidRPr="008C514C">
        <w:rPr>
          <w:rFonts w:cs="Arial"/>
        </w:rPr>
        <w:t xml:space="preserve"> </w:t>
      </w:r>
      <w:hyperlink r:id="rId10" w:history="1">
        <w:r w:rsidR="009B6FB6" w:rsidRPr="006C507C">
          <w:rPr>
            <w:rStyle w:val="Hyperlink"/>
            <w:rFonts w:cs="Arial"/>
          </w:rPr>
          <w:t>2 CFR § 200.306(b)(4)</w:t>
        </w:r>
      </w:hyperlink>
      <w:r w:rsidR="009B6FB6">
        <w:rPr>
          <w:rFonts w:cs="Arial"/>
        </w:rPr>
        <w:t>.</w:t>
      </w:r>
    </w:p>
    <w:p w14:paraId="799B64B1" w14:textId="5BC92687" w:rsidR="00EC10A0" w:rsidRPr="008C514C" w:rsidRDefault="00625DED" w:rsidP="00E230BB">
      <w:pPr>
        <w:pStyle w:val="Heading2"/>
        <w:ind w:left="0" w:firstLine="0"/>
      </w:pPr>
      <w:bookmarkStart w:id="30" w:name="_Toc473899559"/>
      <w:bookmarkStart w:id="31" w:name="_Toc474579304"/>
      <w:bookmarkStart w:id="32" w:name="_Toc474243034"/>
      <w:bookmarkStart w:id="33" w:name="_Toc475093274"/>
      <w:r>
        <w:t>7</w:t>
      </w:r>
      <w:r w:rsidR="00EC10A0">
        <w:t>.</w:t>
      </w:r>
      <w:r w:rsidR="00EC10A0" w:rsidRPr="008C514C">
        <w:t xml:space="preserve">  </w:t>
      </w:r>
      <w:bookmarkEnd w:id="30"/>
      <w:bookmarkEnd w:id="31"/>
      <w:bookmarkEnd w:id="32"/>
      <w:bookmarkEnd w:id="33"/>
      <w:r w:rsidR="00EC10A0">
        <w:t xml:space="preserve">Do the requirements of “supplement, not supplant,” apply to </w:t>
      </w:r>
      <w:r w:rsidR="00B33274" w:rsidRPr="00B33274">
        <w:t>cost share or matching</w:t>
      </w:r>
      <w:r w:rsidR="00EC10A0">
        <w:t xml:space="preserve"> funds?  </w:t>
      </w:r>
    </w:p>
    <w:p w14:paraId="4526B931" w14:textId="14510890" w:rsidR="00EC10A0" w:rsidRDefault="00EC10A0" w:rsidP="001853CF">
      <w:pPr>
        <w:ind w:firstLine="0"/>
        <w:rPr>
          <w:rFonts w:cs="Arial"/>
        </w:rPr>
      </w:pPr>
      <w:r w:rsidRPr="008C514C">
        <w:rPr>
          <w:rFonts w:cs="Arial"/>
        </w:rPr>
        <w:t xml:space="preserve">Yes.  </w:t>
      </w:r>
      <w:r>
        <w:rPr>
          <w:rFonts w:cs="Arial"/>
        </w:rPr>
        <w:t>The supplement</w:t>
      </w:r>
      <w:r w:rsidR="001A4CB5">
        <w:rPr>
          <w:rFonts w:cs="Arial"/>
        </w:rPr>
        <w:t>-</w:t>
      </w:r>
      <w:r>
        <w:rPr>
          <w:rFonts w:cs="Arial"/>
        </w:rPr>
        <w:t>not</w:t>
      </w:r>
      <w:r w:rsidR="001A4CB5">
        <w:rPr>
          <w:rFonts w:cs="Arial"/>
        </w:rPr>
        <w:t>-</w:t>
      </w:r>
      <w:r>
        <w:rPr>
          <w:rFonts w:cs="Arial"/>
        </w:rPr>
        <w:t xml:space="preserve">supplant provision provides that grantees must not use </w:t>
      </w:r>
      <w:r w:rsidR="00BB7938">
        <w:rPr>
          <w:rFonts w:cs="Arial"/>
        </w:rPr>
        <w:t>federal grant</w:t>
      </w:r>
      <w:r>
        <w:rPr>
          <w:rFonts w:cs="Arial"/>
        </w:rPr>
        <w:t xml:space="preserve"> funds to pay for activities that are already being carried out, or must be carried out, by the grantee or its partners with other Federal, State or local funds. Non-Federal funds committed for the purposes of cost-shar</w:t>
      </w:r>
      <w:r w:rsidR="008117DA">
        <w:rPr>
          <w:rFonts w:cs="Arial"/>
        </w:rPr>
        <w:t>e</w:t>
      </w:r>
      <w:r>
        <w:rPr>
          <w:rFonts w:cs="Arial"/>
        </w:rPr>
        <w:t xml:space="preserve"> </w:t>
      </w:r>
      <w:r w:rsidR="00954D3C">
        <w:rPr>
          <w:rFonts w:cs="Arial"/>
        </w:rPr>
        <w:t>or</w:t>
      </w:r>
      <w:r w:rsidR="00BB7938">
        <w:rPr>
          <w:rFonts w:cs="Arial"/>
        </w:rPr>
        <w:t xml:space="preserve"> match</w:t>
      </w:r>
      <w:r w:rsidR="00954D3C">
        <w:rPr>
          <w:rFonts w:cs="Arial"/>
        </w:rPr>
        <w:t>ing</w:t>
      </w:r>
      <w:r w:rsidR="00BB7938">
        <w:rPr>
          <w:rFonts w:cs="Arial"/>
        </w:rPr>
        <w:t xml:space="preserve"> </w:t>
      </w:r>
      <w:r>
        <w:rPr>
          <w:rFonts w:cs="Arial"/>
        </w:rPr>
        <w:t xml:space="preserve">must likewise supplement, not supplant, non-program funds that would be provided in the absence of the grant. </w:t>
      </w:r>
      <w:r w:rsidR="001A4CB5">
        <w:rPr>
          <w:rFonts w:cs="Arial"/>
        </w:rPr>
        <w:t>Each program—TQP, TSL, and SEED have a supplement-not-supplant provision.</w:t>
      </w:r>
    </w:p>
    <w:p w14:paraId="03C5DDB9" w14:textId="4964833C" w:rsidR="00CC2CA2" w:rsidRPr="008C514C" w:rsidDel="00D34B4B" w:rsidRDefault="00625DED" w:rsidP="00E230BB">
      <w:pPr>
        <w:pStyle w:val="Heading2"/>
        <w:ind w:left="0" w:firstLine="0"/>
      </w:pPr>
      <w:bookmarkStart w:id="34" w:name="_Toc473899565"/>
      <w:bookmarkStart w:id="35" w:name="_Toc474579309"/>
      <w:bookmarkStart w:id="36" w:name="_Toc474243039"/>
      <w:bookmarkStart w:id="37" w:name="_Toc475093279"/>
      <w:r>
        <w:t>8</w:t>
      </w:r>
      <w:r w:rsidR="00CC2CA2" w:rsidRPr="008C514C" w:rsidDel="00D34B4B">
        <w:t>.</w:t>
      </w:r>
      <w:r w:rsidR="00EC10A0">
        <w:t xml:space="preserve">  </w:t>
      </w:r>
      <w:r w:rsidR="00CC2CA2" w:rsidRPr="008C514C" w:rsidDel="00D34B4B">
        <w:t>May a grantee use unrecovered indirect costs</w:t>
      </w:r>
      <w:r w:rsidR="00CC2CA2">
        <w:t xml:space="preserve"> (</w:t>
      </w:r>
      <w:r w:rsidR="00CC2CA2" w:rsidRPr="008C514C" w:rsidDel="00D34B4B">
        <w:t xml:space="preserve">i.e., indirect costs that a grantee could have claimed </w:t>
      </w:r>
      <w:r w:rsidR="00CC2CA2" w:rsidRPr="008C514C">
        <w:t xml:space="preserve">under </w:t>
      </w:r>
      <w:r w:rsidR="00CC2CA2">
        <w:t>its</w:t>
      </w:r>
      <w:r w:rsidR="00CC2CA2" w:rsidRPr="008C514C">
        <w:t xml:space="preserve"> approved indirect cost rate agreement </w:t>
      </w:r>
      <w:r w:rsidR="00CC2CA2" w:rsidRPr="008C514C" w:rsidDel="00D34B4B">
        <w:t xml:space="preserve">but did not </w:t>
      </w:r>
      <w:r w:rsidR="00CC2CA2">
        <w:t xml:space="preserve">or could not </w:t>
      </w:r>
      <w:r w:rsidR="00CC2CA2" w:rsidRPr="008C514C" w:rsidDel="00D34B4B">
        <w:t>claim under its grant</w:t>
      </w:r>
      <w:r w:rsidR="00CC2CA2">
        <w:t xml:space="preserve">) </w:t>
      </w:r>
      <w:r w:rsidR="00CC2CA2" w:rsidRPr="008C514C" w:rsidDel="00D34B4B">
        <w:t xml:space="preserve">to meet the </w:t>
      </w:r>
      <w:r w:rsidR="00B33274" w:rsidRPr="00B33274">
        <w:t>cost share or matching</w:t>
      </w:r>
      <w:r w:rsidR="00CC2CA2" w:rsidRPr="008C514C" w:rsidDel="00D34B4B">
        <w:t xml:space="preserve"> requirement?</w:t>
      </w:r>
      <w:bookmarkEnd w:id="34"/>
      <w:bookmarkEnd w:id="35"/>
      <w:bookmarkEnd w:id="36"/>
      <w:bookmarkEnd w:id="37"/>
    </w:p>
    <w:p w14:paraId="717F9FD5" w14:textId="1A243E07" w:rsidR="00EC10A0" w:rsidRDefault="00CC2CA2" w:rsidP="001853CF">
      <w:pPr>
        <w:ind w:firstLine="0"/>
        <w:rPr>
          <w:rFonts w:cs="Arial"/>
        </w:rPr>
      </w:pPr>
      <w:r w:rsidRPr="008C514C" w:rsidDel="00D34B4B">
        <w:rPr>
          <w:rFonts w:cs="Arial"/>
        </w:rPr>
        <w:t xml:space="preserve">No. The Department will not approve the use of unrecovered indirect costs to meet </w:t>
      </w:r>
      <w:r w:rsidR="00106428" w:rsidRPr="008C514C">
        <w:rPr>
          <w:rFonts w:cs="Arial"/>
        </w:rPr>
        <w:t>program</w:t>
      </w:r>
      <w:r w:rsidR="00106428">
        <w:rPr>
          <w:rFonts w:cs="Arial"/>
        </w:rPr>
        <w:t xml:space="preserve"> </w:t>
      </w:r>
      <w:r w:rsidR="00106428" w:rsidRPr="008C514C" w:rsidDel="00D34B4B">
        <w:rPr>
          <w:rFonts w:cs="Arial"/>
        </w:rPr>
        <w:t>cost</w:t>
      </w:r>
      <w:r w:rsidR="00954D3C" w:rsidRPr="00954D3C">
        <w:rPr>
          <w:rFonts w:cs="Arial"/>
        </w:rPr>
        <w:t xml:space="preserve"> share or matching </w:t>
      </w:r>
      <w:r w:rsidRPr="008C514C" w:rsidDel="00D34B4B">
        <w:rPr>
          <w:rFonts w:cs="Arial"/>
        </w:rPr>
        <w:t>requirement</w:t>
      </w:r>
      <w:r w:rsidR="002556D7">
        <w:rPr>
          <w:rFonts w:cs="Arial"/>
        </w:rPr>
        <w:t>s</w:t>
      </w:r>
      <w:r w:rsidRPr="008C514C" w:rsidDel="00D34B4B">
        <w:rPr>
          <w:rFonts w:cs="Arial"/>
        </w:rPr>
        <w:t xml:space="preserve">.  </w:t>
      </w:r>
      <w:r w:rsidRPr="008C514C" w:rsidDel="00D34B4B">
        <w:t xml:space="preserve">See </w:t>
      </w:r>
      <w:r w:rsidRPr="008C514C" w:rsidDel="00D34B4B">
        <w:rPr>
          <w:rFonts w:cs="Arial"/>
        </w:rPr>
        <w:t xml:space="preserve">2 CFR </w:t>
      </w:r>
      <w:r w:rsidRPr="008C514C">
        <w:rPr>
          <w:rFonts w:cs="Arial"/>
        </w:rPr>
        <w:t>§</w:t>
      </w:r>
      <w:r>
        <w:rPr>
          <w:rFonts w:cs="Arial"/>
        </w:rPr>
        <w:t xml:space="preserve"> </w:t>
      </w:r>
      <w:r w:rsidRPr="008C514C" w:rsidDel="00D34B4B">
        <w:rPr>
          <w:rFonts w:cs="Arial"/>
        </w:rPr>
        <w:t>200.306(c).</w:t>
      </w:r>
    </w:p>
    <w:p w14:paraId="585B1747" w14:textId="06CF1C93" w:rsidR="00EC10A0" w:rsidRPr="008C514C" w:rsidRDefault="00625DED" w:rsidP="00E230BB">
      <w:pPr>
        <w:pStyle w:val="Heading2"/>
        <w:ind w:left="0" w:firstLine="0"/>
      </w:pPr>
      <w:bookmarkStart w:id="38" w:name="_Toc473899571"/>
      <w:bookmarkStart w:id="39" w:name="_Toc474579313"/>
      <w:bookmarkStart w:id="40" w:name="_Toc474243043"/>
      <w:bookmarkStart w:id="41" w:name="_Toc475093283"/>
      <w:r>
        <w:lastRenderedPageBreak/>
        <w:t>9</w:t>
      </w:r>
      <w:r w:rsidR="00EC10A0" w:rsidRPr="008C514C">
        <w:t>.</w:t>
      </w:r>
      <w:r w:rsidR="00EC10A0">
        <w:t xml:space="preserve">  </w:t>
      </w:r>
      <w:r w:rsidR="00EC10A0" w:rsidRPr="008C514C">
        <w:t>What are some examples of acceptable in-kind contributions</w:t>
      </w:r>
      <w:r w:rsidR="00B33274">
        <w:t xml:space="preserve"> to help meet the </w:t>
      </w:r>
      <w:r w:rsidR="00CC3FDF">
        <w:t>non-Federal</w:t>
      </w:r>
      <w:r w:rsidR="00B33274">
        <w:t xml:space="preserve"> </w:t>
      </w:r>
      <w:r w:rsidR="00B33274" w:rsidRPr="00B33274">
        <w:t>cost share or matching</w:t>
      </w:r>
      <w:r w:rsidR="00B33274">
        <w:t xml:space="preserve"> requirement</w:t>
      </w:r>
      <w:r w:rsidR="00EC10A0" w:rsidRPr="008C514C">
        <w:t>?</w:t>
      </w:r>
      <w:bookmarkEnd w:id="38"/>
      <w:bookmarkEnd w:id="39"/>
      <w:bookmarkEnd w:id="40"/>
      <w:bookmarkEnd w:id="41"/>
    </w:p>
    <w:p w14:paraId="3998DDE1" w14:textId="02977993" w:rsidR="00EC10A0" w:rsidRPr="008C514C" w:rsidRDefault="00EC10A0" w:rsidP="001853CF">
      <w:pPr>
        <w:ind w:firstLine="0"/>
        <w:rPr>
          <w:rFonts w:cs="Arial"/>
        </w:rPr>
      </w:pPr>
      <w:r w:rsidRPr="008C514C">
        <w:rPr>
          <w:rFonts w:cs="Arial"/>
        </w:rPr>
        <w:t>Some examples of costs, services, or in-kind contributions that may be claimed as</w:t>
      </w:r>
      <w:r w:rsidR="00000894">
        <w:rPr>
          <w:rFonts w:cs="Arial"/>
        </w:rPr>
        <w:t xml:space="preserve"> match</w:t>
      </w:r>
      <w:r w:rsidRPr="008C514C">
        <w:rPr>
          <w:rFonts w:cs="Arial"/>
        </w:rPr>
        <w:t xml:space="preserve"> </w:t>
      </w:r>
      <w:r w:rsidR="00B33274">
        <w:rPr>
          <w:rFonts w:cs="Arial"/>
        </w:rPr>
        <w:t>are</w:t>
      </w:r>
      <w:r w:rsidRPr="008C514C">
        <w:rPr>
          <w:rFonts w:cs="Arial"/>
        </w:rPr>
        <w:t xml:space="preserve"> include</w:t>
      </w:r>
      <w:r w:rsidR="00B33274">
        <w:rPr>
          <w:rFonts w:cs="Arial"/>
        </w:rPr>
        <w:t>d in the list below.</w:t>
      </w:r>
      <w:r w:rsidR="00CB72ED">
        <w:rPr>
          <w:rFonts w:cs="Arial"/>
        </w:rPr>
        <w:t xml:space="preserve"> As noted in Question </w:t>
      </w:r>
      <w:r w:rsidR="006F64CA">
        <w:rPr>
          <w:rFonts w:cs="Arial"/>
        </w:rPr>
        <w:t xml:space="preserve">6, any match cost item must </w:t>
      </w:r>
      <w:r w:rsidR="006D465D">
        <w:rPr>
          <w:rFonts w:cs="Arial"/>
        </w:rPr>
        <w:t>be allowable under the Cost Principles of the Uniform Guidance as if it was paid for with Federal grant funds.</w:t>
      </w:r>
      <w:r w:rsidR="00B33274">
        <w:rPr>
          <w:rFonts w:cs="Arial"/>
        </w:rPr>
        <w:t xml:space="preserve"> This is not an exhaustive list</w:t>
      </w:r>
      <w:r w:rsidR="00DD0E0B">
        <w:rPr>
          <w:rFonts w:cs="Arial"/>
        </w:rPr>
        <w:t xml:space="preserve"> and all items below may not </w:t>
      </w:r>
      <w:r w:rsidR="002A7128">
        <w:rPr>
          <w:rFonts w:cs="Arial"/>
        </w:rPr>
        <w:t xml:space="preserve">be allowable for </w:t>
      </w:r>
      <w:r w:rsidR="00DD0E0B">
        <w:rPr>
          <w:rFonts w:cs="Arial"/>
        </w:rPr>
        <w:t>all three</w:t>
      </w:r>
      <w:r w:rsidR="002A7128">
        <w:rPr>
          <w:rFonts w:cs="Arial"/>
        </w:rPr>
        <w:t xml:space="preserve"> programs</w:t>
      </w:r>
      <w:r w:rsidR="00B33274">
        <w:rPr>
          <w:rFonts w:cs="Arial"/>
        </w:rPr>
        <w:t>.</w:t>
      </w:r>
      <w:r w:rsidRPr="008C514C">
        <w:rPr>
          <w:rFonts w:cs="Arial"/>
        </w:rPr>
        <w:t xml:space="preserve">   </w:t>
      </w:r>
    </w:p>
    <w:p w14:paraId="3884C779" w14:textId="53A17EE6" w:rsidR="00EC10A0" w:rsidRPr="008C514C" w:rsidRDefault="00EC10A0" w:rsidP="00EC10A0">
      <w:pPr>
        <w:pStyle w:val="ListParagraph"/>
        <w:numPr>
          <w:ilvl w:val="0"/>
          <w:numId w:val="2"/>
        </w:numPr>
        <w:spacing w:after="0"/>
      </w:pPr>
      <w:r w:rsidRPr="008C514C">
        <w:t>Personnel costs associated with the management or administration of the project</w:t>
      </w:r>
      <w:r>
        <w:t xml:space="preserve">. </w:t>
      </w:r>
    </w:p>
    <w:p w14:paraId="58E5326A" w14:textId="77777777" w:rsidR="00EC10A0" w:rsidRPr="008C514C" w:rsidRDefault="00EC10A0" w:rsidP="00EC10A0">
      <w:pPr>
        <w:pStyle w:val="ListParagraph"/>
        <w:spacing w:after="0"/>
        <w:ind w:firstLine="0"/>
      </w:pPr>
    </w:p>
    <w:p w14:paraId="6BCBF4F5" w14:textId="2CA7233D" w:rsidR="00EC10A0" w:rsidRPr="008C514C" w:rsidRDefault="00EC10A0" w:rsidP="00EC10A0">
      <w:pPr>
        <w:pStyle w:val="ListParagraph"/>
        <w:numPr>
          <w:ilvl w:val="0"/>
          <w:numId w:val="2"/>
        </w:numPr>
        <w:spacing w:after="0"/>
      </w:pPr>
      <w:r w:rsidRPr="008C514C">
        <w:t xml:space="preserve">Personnel costs associated with the time that </w:t>
      </w:r>
      <w:r w:rsidR="007F2482">
        <w:t>project</w:t>
      </w:r>
      <w:r w:rsidR="007F2482" w:rsidRPr="008C514C">
        <w:t xml:space="preserve"> participa</w:t>
      </w:r>
      <w:r w:rsidR="007F2482">
        <w:t>nts engage</w:t>
      </w:r>
      <w:r w:rsidRPr="008C514C">
        <w:t xml:space="preserve"> in project activities, including, but not limited to: </w:t>
      </w:r>
    </w:p>
    <w:p w14:paraId="0A813CCA" w14:textId="77777777" w:rsidR="00EC10A0" w:rsidRPr="008C514C" w:rsidRDefault="00EC10A0" w:rsidP="00EC10A0">
      <w:pPr>
        <w:pStyle w:val="ListParagraph"/>
        <w:numPr>
          <w:ilvl w:val="1"/>
          <w:numId w:val="2"/>
        </w:numPr>
        <w:spacing w:after="0"/>
      </w:pPr>
      <w:r w:rsidRPr="008C514C">
        <w:t xml:space="preserve">Professional Development (see the definition of “professional development” in section 8101(42) of the ESEA). </w:t>
      </w:r>
    </w:p>
    <w:p w14:paraId="1B05C682" w14:textId="77777777" w:rsidR="00EC10A0" w:rsidRPr="008C514C" w:rsidRDefault="00EC10A0" w:rsidP="00EC10A0">
      <w:pPr>
        <w:pStyle w:val="ListParagraph"/>
        <w:numPr>
          <w:ilvl w:val="1"/>
          <w:numId w:val="2"/>
        </w:numPr>
        <w:spacing w:after="0"/>
      </w:pPr>
      <w:r w:rsidRPr="008C514C">
        <w:t>Mentoring, coaching</w:t>
      </w:r>
      <w:r>
        <w:t>,</w:t>
      </w:r>
      <w:r w:rsidRPr="008C514C">
        <w:t xml:space="preserve"> or teacher leadership.</w:t>
      </w:r>
    </w:p>
    <w:p w14:paraId="479D3AC0" w14:textId="77777777" w:rsidR="00EC10A0" w:rsidRPr="008C514C" w:rsidRDefault="00EC10A0" w:rsidP="00EC10A0">
      <w:pPr>
        <w:pStyle w:val="ListParagraph"/>
        <w:numPr>
          <w:ilvl w:val="1"/>
          <w:numId w:val="2"/>
        </w:numPr>
        <w:spacing w:after="0"/>
      </w:pPr>
      <w:r w:rsidRPr="008C514C">
        <w:t xml:space="preserve">Classroom instruction time implementing new strategies or activities stemming from the results of the educator evaluations and support system. </w:t>
      </w:r>
    </w:p>
    <w:p w14:paraId="75E3A333" w14:textId="77777777" w:rsidR="00EC10A0" w:rsidRPr="008C514C" w:rsidRDefault="00EC10A0" w:rsidP="00EC10A0">
      <w:pPr>
        <w:pStyle w:val="ListParagraph"/>
        <w:numPr>
          <w:ilvl w:val="1"/>
          <w:numId w:val="2"/>
        </w:numPr>
        <w:spacing w:after="0"/>
      </w:pPr>
      <w:r>
        <w:t>Project p</w:t>
      </w:r>
      <w:r w:rsidRPr="008C514C">
        <w:t>lanning activities</w:t>
      </w:r>
      <w:r>
        <w:t>,</w:t>
      </w:r>
      <w:r w:rsidRPr="008C514C">
        <w:t xml:space="preserve"> including participation in professional learning communities.</w:t>
      </w:r>
    </w:p>
    <w:p w14:paraId="38F8D85C" w14:textId="77777777" w:rsidR="00EC10A0" w:rsidRPr="008C514C" w:rsidRDefault="00EC10A0" w:rsidP="00EC10A0">
      <w:pPr>
        <w:pStyle w:val="ListParagraph"/>
        <w:numPr>
          <w:ilvl w:val="1"/>
          <w:numId w:val="2"/>
        </w:numPr>
        <w:spacing w:after="0"/>
      </w:pPr>
      <w:r w:rsidRPr="008C514C">
        <w:t xml:space="preserve">Formative or summative evaluation activities and costs of reviewing research-based practices relating to the project. </w:t>
      </w:r>
    </w:p>
    <w:p w14:paraId="3D910C93" w14:textId="77777777" w:rsidR="00EC10A0" w:rsidRPr="008C514C" w:rsidRDefault="00EC10A0" w:rsidP="00EC10A0">
      <w:pPr>
        <w:pStyle w:val="ListParagraph"/>
        <w:spacing w:after="0"/>
        <w:ind w:firstLine="0"/>
      </w:pPr>
    </w:p>
    <w:p w14:paraId="009C445D" w14:textId="411CA32C" w:rsidR="00EC10A0" w:rsidRPr="008C514C" w:rsidRDefault="00EC10A0" w:rsidP="00EC10A0">
      <w:pPr>
        <w:pStyle w:val="ListParagraph"/>
        <w:numPr>
          <w:ilvl w:val="0"/>
          <w:numId w:val="2"/>
        </w:numPr>
        <w:spacing w:after="0"/>
      </w:pPr>
      <w:r w:rsidRPr="008C514C">
        <w:t>Non-personnel costs relating to the implementation, management, or administration of the project</w:t>
      </w:r>
      <w:r>
        <w:t xml:space="preserve"> that are discounted or </w:t>
      </w:r>
      <w:r w:rsidR="00B33274">
        <w:t>provided</w:t>
      </w:r>
      <w:r w:rsidRPr="008C514C">
        <w:t>, including, but not limited to:</w:t>
      </w:r>
    </w:p>
    <w:p w14:paraId="05F758EA" w14:textId="77777777" w:rsidR="00EC10A0" w:rsidRPr="008C514C" w:rsidRDefault="00EC10A0" w:rsidP="00EC10A0">
      <w:pPr>
        <w:pStyle w:val="ListParagraph"/>
        <w:numPr>
          <w:ilvl w:val="1"/>
          <w:numId w:val="2"/>
        </w:numPr>
        <w:spacing w:after="0"/>
      </w:pPr>
      <w:r w:rsidRPr="008C514C">
        <w:t xml:space="preserve">Training-related supplies. </w:t>
      </w:r>
    </w:p>
    <w:p w14:paraId="047EAC93" w14:textId="77777777" w:rsidR="00EC10A0" w:rsidRPr="008C514C" w:rsidRDefault="00EC10A0" w:rsidP="00EC10A0">
      <w:pPr>
        <w:pStyle w:val="ListParagraph"/>
        <w:numPr>
          <w:ilvl w:val="1"/>
          <w:numId w:val="2"/>
        </w:numPr>
        <w:spacing w:after="0"/>
      </w:pPr>
      <w:r w:rsidRPr="008C514C">
        <w:t xml:space="preserve">Project-related communications. </w:t>
      </w:r>
    </w:p>
    <w:p w14:paraId="0AAF3AA1" w14:textId="77777777" w:rsidR="00EC10A0" w:rsidRPr="008C514C" w:rsidRDefault="00EC10A0" w:rsidP="00EC10A0">
      <w:pPr>
        <w:pStyle w:val="ListParagraph"/>
        <w:numPr>
          <w:ilvl w:val="1"/>
          <w:numId w:val="2"/>
        </w:numPr>
        <w:spacing w:after="0"/>
      </w:pPr>
      <w:r w:rsidRPr="008C514C">
        <w:t xml:space="preserve">Technology integral to the project. </w:t>
      </w:r>
    </w:p>
    <w:p w14:paraId="7F68E0F1" w14:textId="015B1180" w:rsidR="00EC10A0" w:rsidRPr="008C514C" w:rsidRDefault="00EC10A0" w:rsidP="00EC10A0">
      <w:pPr>
        <w:pStyle w:val="ListParagraph"/>
        <w:numPr>
          <w:ilvl w:val="1"/>
          <w:numId w:val="2"/>
        </w:numPr>
        <w:spacing w:after="0"/>
      </w:pPr>
      <w:r w:rsidRPr="008C514C">
        <w:t>Purchases, upgrades</w:t>
      </w:r>
      <w:r>
        <w:t>,</w:t>
      </w:r>
      <w:r w:rsidRPr="008C514C">
        <w:t xml:space="preserve"> or licensing fees needed for </w:t>
      </w:r>
      <w:r w:rsidR="00970D52">
        <w:t xml:space="preserve">project </w:t>
      </w:r>
      <w:r>
        <w:t>data management systems</w:t>
      </w:r>
      <w:r w:rsidRPr="008C514C">
        <w:t>.</w:t>
      </w:r>
    </w:p>
    <w:p w14:paraId="1CADF34A" w14:textId="77777777" w:rsidR="00EC10A0" w:rsidRPr="008C514C" w:rsidDel="00D34B4B" w:rsidRDefault="00EC10A0" w:rsidP="00CC2CA2">
      <w:pPr>
        <w:rPr>
          <w:rFonts w:cs="Arial"/>
        </w:rPr>
      </w:pPr>
    </w:p>
    <w:p w14:paraId="76E436B7" w14:textId="77777777" w:rsidR="005E553E" w:rsidRDefault="005E553E"/>
    <w:sectPr w:rsidR="005E55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6ED9" w14:textId="77777777" w:rsidR="00323C61" w:rsidRDefault="00323C61" w:rsidP="00323C61">
      <w:pPr>
        <w:spacing w:after="0" w:line="240" w:lineRule="auto"/>
      </w:pPr>
      <w:r>
        <w:separator/>
      </w:r>
    </w:p>
  </w:endnote>
  <w:endnote w:type="continuationSeparator" w:id="0">
    <w:p w14:paraId="1647FFAA" w14:textId="77777777" w:rsidR="00323C61" w:rsidRDefault="00323C61" w:rsidP="0032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Roman">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14631"/>
      <w:docPartObj>
        <w:docPartGallery w:val="Page Numbers (Bottom of Page)"/>
        <w:docPartUnique/>
      </w:docPartObj>
    </w:sdtPr>
    <w:sdtEndPr>
      <w:rPr>
        <w:noProof/>
      </w:rPr>
    </w:sdtEndPr>
    <w:sdtContent>
      <w:p w14:paraId="180156D1" w14:textId="3D9BE7E8" w:rsidR="00323C61" w:rsidRDefault="00323C61" w:rsidP="00F30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15A4" w14:textId="77777777" w:rsidR="00323C61" w:rsidRDefault="00323C61" w:rsidP="00323C61">
      <w:pPr>
        <w:spacing w:after="0" w:line="240" w:lineRule="auto"/>
      </w:pPr>
      <w:r>
        <w:separator/>
      </w:r>
    </w:p>
  </w:footnote>
  <w:footnote w:type="continuationSeparator" w:id="0">
    <w:p w14:paraId="3F4ECDE7" w14:textId="77777777" w:rsidR="00323C61" w:rsidRDefault="00323C61" w:rsidP="00323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02BA"/>
    <w:multiLevelType w:val="hybridMultilevel"/>
    <w:tmpl w:val="9A203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F2604"/>
    <w:multiLevelType w:val="hybridMultilevel"/>
    <w:tmpl w:val="5386B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E6D65"/>
    <w:multiLevelType w:val="hybridMultilevel"/>
    <w:tmpl w:val="36687D8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A2"/>
    <w:rsid w:val="00000894"/>
    <w:rsid w:val="00001772"/>
    <w:rsid w:val="00002A13"/>
    <w:rsid w:val="00002DEE"/>
    <w:rsid w:val="0001069A"/>
    <w:rsid w:val="00025CB2"/>
    <w:rsid w:val="0003047D"/>
    <w:rsid w:val="000405A2"/>
    <w:rsid w:val="00042B56"/>
    <w:rsid w:val="00045255"/>
    <w:rsid w:val="000578B2"/>
    <w:rsid w:val="00062F7C"/>
    <w:rsid w:val="00070A7F"/>
    <w:rsid w:val="00071640"/>
    <w:rsid w:val="00084DC2"/>
    <w:rsid w:val="00091FD6"/>
    <w:rsid w:val="000A0D4D"/>
    <w:rsid w:val="000A12B6"/>
    <w:rsid w:val="000A50F9"/>
    <w:rsid w:val="000C2AF6"/>
    <w:rsid w:val="000E1FD8"/>
    <w:rsid w:val="000F245B"/>
    <w:rsid w:val="0010151D"/>
    <w:rsid w:val="00106428"/>
    <w:rsid w:val="001224D6"/>
    <w:rsid w:val="001337EE"/>
    <w:rsid w:val="00137D4D"/>
    <w:rsid w:val="00147416"/>
    <w:rsid w:val="00153FB5"/>
    <w:rsid w:val="00161F33"/>
    <w:rsid w:val="00182F7A"/>
    <w:rsid w:val="001853CF"/>
    <w:rsid w:val="00193810"/>
    <w:rsid w:val="001A1FD6"/>
    <w:rsid w:val="001A4CB5"/>
    <w:rsid w:val="001A5327"/>
    <w:rsid w:val="001B0071"/>
    <w:rsid w:val="001B3130"/>
    <w:rsid w:val="001C63FE"/>
    <w:rsid w:val="001C6BFC"/>
    <w:rsid w:val="001E6486"/>
    <w:rsid w:val="001F053D"/>
    <w:rsid w:val="0020164C"/>
    <w:rsid w:val="00210F03"/>
    <w:rsid w:val="00216919"/>
    <w:rsid w:val="00225E02"/>
    <w:rsid w:val="00227FF6"/>
    <w:rsid w:val="0023236F"/>
    <w:rsid w:val="00247368"/>
    <w:rsid w:val="002556D7"/>
    <w:rsid w:val="00260863"/>
    <w:rsid w:val="002870F8"/>
    <w:rsid w:val="00295703"/>
    <w:rsid w:val="002A19C9"/>
    <w:rsid w:val="002A60D6"/>
    <w:rsid w:val="002A7128"/>
    <w:rsid w:val="002B2DF0"/>
    <w:rsid w:val="002B3891"/>
    <w:rsid w:val="002D1DF2"/>
    <w:rsid w:val="002E322B"/>
    <w:rsid w:val="002E6EF6"/>
    <w:rsid w:val="002F0FDE"/>
    <w:rsid w:val="002F1475"/>
    <w:rsid w:val="002F149D"/>
    <w:rsid w:val="00323C61"/>
    <w:rsid w:val="00337ACF"/>
    <w:rsid w:val="00337E54"/>
    <w:rsid w:val="003617B2"/>
    <w:rsid w:val="00363230"/>
    <w:rsid w:val="00374285"/>
    <w:rsid w:val="00392D4C"/>
    <w:rsid w:val="003A12BD"/>
    <w:rsid w:val="003B7B43"/>
    <w:rsid w:val="003C0991"/>
    <w:rsid w:val="003C318A"/>
    <w:rsid w:val="003D1CD9"/>
    <w:rsid w:val="003D592A"/>
    <w:rsid w:val="00401979"/>
    <w:rsid w:val="004063D1"/>
    <w:rsid w:val="0041144D"/>
    <w:rsid w:val="00412549"/>
    <w:rsid w:val="00414DCA"/>
    <w:rsid w:val="004216B8"/>
    <w:rsid w:val="00421A31"/>
    <w:rsid w:val="00430E02"/>
    <w:rsid w:val="0043128B"/>
    <w:rsid w:val="004314EE"/>
    <w:rsid w:val="004335B0"/>
    <w:rsid w:val="004359AA"/>
    <w:rsid w:val="00450115"/>
    <w:rsid w:val="004531F9"/>
    <w:rsid w:val="00453F81"/>
    <w:rsid w:val="00457C10"/>
    <w:rsid w:val="004631BC"/>
    <w:rsid w:val="004711B3"/>
    <w:rsid w:val="0047329B"/>
    <w:rsid w:val="00485A9B"/>
    <w:rsid w:val="00496E2C"/>
    <w:rsid w:val="004A25BA"/>
    <w:rsid w:val="004A2AC1"/>
    <w:rsid w:val="004B3526"/>
    <w:rsid w:val="004B65CB"/>
    <w:rsid w:val="004B760C"/>
    <w:rsid w:val="004C0C58"/>
    <w:rsid w:val="004D34D1"/>
    <w:rsid w:val="004D3CF9"/>
    <w:rsid w:val="004D7F02"/>
    <w:rsid w:val="004E2FE0"/>
    <w:rsid w:val="004F28DD"/>
    <w:rsid w:val="004F5F31"/>
    <w:rsid w:val="005064F6"/>
    <w:rsid w:val="00506D51"/>
    <w:rsid w:val="00517F66"/>
    <w:rsid w:val="00532311"/>
    <w:rsid w:val="0053234C"/>
    <w:rsid w:val="00534BB2"/>
    <w:rsid w:val="005375C2"/>
    <w:rsid w:val="0056022B"/>
    <w:rsid w:val="00583A47"/>
    <w:rsid w:val="00591C75"/>
    <w:rsid w:val="0059234B"/>
    <w:rsid w:val="00597290"/>
    <w:rsid w:val="00597968"/>
    <w:rsid w:val="005A39F8"/>
    <w:rsid w:val="005A5870"/>
    <w:rsid w:val="005D14D6"/>
    <w:rsid w:val="005D1A2D"/>
    <w:rsid w:val="005D5D7A"/>
    <w:rsid w:val="005E37E0"/>
    <w:rsid w:val="005E553E"/>
    <w:rsid w:val="005F7498"/>
    <w:rsid w:val="00601261"/>
    <w:rsid w:val="006016C4"/>
    <w:rsid w:val="00605673"/>
    <w:rsid w:val="006057EC"/>
    <w:rsid w:val="00625DED"/>
    <w:rsid w:val="00655A34"/>
    <w:rsid w:val="00660C0B"/>
    <w:rsid w:val="00662211"/>
    <w:rsid w:val="006924BC"/>
    <w:rsid w:val="00696373"/>
    <w:rsid w:val="006A15A2"/>
    <w:rsid w:val="006B6A03"/>
    <w:rsid w:val="006C02A5"/>
    <w:rsid w:val="006C507C"/>
    <w:rsid w:val="006D465D"/>
    <w:rsid w:val="006F0F8D"/>
    <w:rsid w:val="006F143D"/>
    <w:rsid w:val="006F5395"/>
    <w:rsid w:val="006F64CA"/>
    <w:rsid w:val="00701085"/>
    <w:rsid w:val="007104B4"/>
    <w:rsid w:val="007120B7"/>
    <w:rsid w:val="00712658"/>
    <w:rsid w:val="007215B5"/>
    <w:rsid w:val="00722F9F"/>
    <w:rsid w:val="0072627E"/>
    <w:rsid w:val="00731F12"/>
    <w:rsid w:val="00744989"/>
    <w:rsid w:val="00754271"/>
    <w:rsid w:val="00760288"/>
    <w:rsid w:val="00770E3F"/>
    <w:rsid w:val="00771E54"/>
    <w:rsid w:val="00772EAA"/>
    <w:rsid w:val="00784A50"/>
    <w:rsid w:val="00787EAA"/>
    <w:rsid w:val="00796BB8"/>
    <w:rsid w:val="007A1364"/>
    <w:rsid w:val="007A64C1"/>
    <w:rsid w:val="007A7020"/>
    <w:rsid w:val="007B0CBA"/>
    <w:rsid w:val="007C4B36"/>
    <w:rsid w:val="007D10BF"/>
    <w:rsid w:val="007E417C"/>
    <w:rsid w:val="007F1BDE"/>
    <w:rsid w:val="007F2482"/>
    <w:rsid w:val="007F4ED4"/>
    <w:rsid w:val="00803DE9"/>
    <w:rsid w:val="008117DA"/>
    <w:rsid w:val="00811FFF"/>
    <w:rsid w:val="00827A50"/>
    <w:rsid w:val="00833229"/>
    <w:rsid w:val="00833B79"/>
    <w:rsid w:val="008378B5"/>
    <w:rsid w:val="00841D46"/>
    <w:rsid w:val="008440C8"/>
    <w:rsid w:val="00851080"/>
    <w:rsid w:val="00854155"/>
    <w:rsid w:val="008672DC"/>
    <w:rsid w:val="00871AAF"/>
    <w:rsid w:val="008765BA"/>
    <w:rsid w:val="00895F3C"/>
    <w:rsid w:val="00896041"/>
    <w:rsid w:val="0089654E"/>
    <w:rsid w:val="008A1369"/>
    <w:rsid w:val="008A1B0F"/>
    <w:rsid w:val="008A2E6F"/>
    <w:rsid w:val="008B6C44"/>
    <w:rsid w:val="008C3634"/>
    <w:rsid w:val="008D01F1"/>
    <w:rsid w:val="008F0EA1"/>
    <w:rsid w:val="00911563"/>
    <w:rsid w:val="00912E84"/>
    <w:rsid w:val="0092349D"/>
    <w:rsid w:val="00930FC4"/>
    <w:rsid w:val="00934684"/>
    <w:rsid w:val="00936ABE"/>
    <w:rsid w:val="00946DBD"/>
    <w:rsid w:val="00946F22"/>
    <w:rsid w:val="00953FA0"/>
    <w:rsid w:val="00954D3C"/>
    <w:rsid w:val="00970D52"/>
    <w:rsid w:val="0097444B"/>
    <w:rsid w:val="00975D02"/>
    <w:rsid w:val="00980667"/>
    <w:rsid w:val="00985B14"/>
    <w:rsid w:val="00996BD0"/>
    <w:rsid w:val="009A2535"/>
    <w:rsid w:val="009A6080"/>
    <w:rsid w:val="009B6FB6"/>
    <w:rsid w:val="009C032F"/>
    <w:rsid w:val="009C155B"/>
    <w:rsid w:val="009D68A9"/>
    <w:rsid w:val="009F6EF3"/>
    <w:rsid w:val="00A20349"/>
    <w:rsid w:val="00A2209E"/>
    <w:rsid w:val="00A23B6A"/>
    <w:rsid w:val="00A245F6"/>
    <w:rsid w:val="00A343E8"/>
    <w:rsid w:val="00A50000"/>
    <w:rsid w:val="00A524F3"/>
    <w:rsid w:val="00A56424"/>
    <w:rsid w:val="00A7445B"/>
    <w:rsid w:val="00A81BC6"/>
    <w:rsid w:val="00A91C98"/>
    <w:rsid w:val="00A95CC0"/>
    <w:rsid w:val="00AA3EE5"/>
    <w:rsid w:val="00AB1FEF"/>
    <w:rsid w:val="00AC6396"/>
    <w:rsid w:val="00AE01D0"/>
    <w:rsid w:val="00AE4979"/>
    <w:rsid w:val="00B00D45"/>
    <w:rsid w:val="00B00E3D"/>
    <w:rsid w:val="00B05527"/>
    <w:rsid w:val="00B06B40"/>
    <w:rsid w:val="00B1227B"/>
    <w:rsid w:val="00B33274"/>
    <w:rsid w:val="00B43C0A"/>
    <w:rsid w:val="00B51008"/>
    <w:rsid w:val="00B57509"/>
    <w:rsid w:val="00B57817"/>
    <w:rsid w:val="00B64D76"/>
    <w:rsid w:val="00B80624"/>
    <w:rsid w:val="00B8063A"/>
    <w:rsid w:val="00B8382C"/>
    <w:rsid w:val="00B86AB6"/>
    <w:rsid w:val="00BB2251"/>
    <w:rsid w:val="00BB7938"/>
    <w:rsid w:val="00BC7B67"/>
    <w:rsid w:val="00BD1CA3"/>
    <w:rsid w:val="00BE1D85"/>
    <w:rsid w:val="00BE1E83"/>
    <w:rsid w:val="00BE489D"/>
    <w:rsid w:val="00BF1ED0"/>
    <w:rsid w:val="00C05472"/>
    <w:rsid w:val="00C17DD7"/>
    <w:rsid w:val="00C17E6E"/>
    <w:rsid w:val="00C32741"/>
    <w:rsid w:val="00C357BB"/>
    <w:rsid w:val="00C41274"/>
    <w:rsid w:val="00C54B27"/>
    <w:rsid w:val="00C54FC1"/>
    <w:rsid w:val="00C65497"/>
    <w:rsid w:val="00C811F8"/>
    <w:rsid w:val="00C906B6"/>
    <w:rsid w:val="00C933AD"/>
    <w:rsid w:val="00CA2CC0"/>
    <w:rsid w:val="00CB599B"/>
    <w:rsid w:val="00CB72ED"/>
    <w:rsid w:val="00CC0352"/>
    <w:rsid w:val="00CC2CA2"/>
    <w:rsid w:val="00CC3FDF"/>
    <w:rsid w:val="00CD6DBA"/>
    <w:rsid w:val="00CD7CB6"/>
    <w:rsid w:val="00CF0233"/>
    <w:rsid w:val="00CF40CC"/>
    <w:rsid w:val="00D003AF"/>
    <w:rsid w:val="00D00BDE"/>
    <w:rsid w:val="00D0121D"/>
    <w:rsid w:val="00D1061D"/>
    <w:rsid w:val="00D172A1"/>
    <w:rsid w:val="00D23D2A"/>
    <w:rsid w:val="00D25DA7"/>
    <w:rsid w:val="00D50169"/>
    <w:rsid w:val="00D56783"/>
    <w:rsid w:val="00D57049"/>
    <w:rsid w:val="00D65745"/>
    <w:rsid w:val="00D70A67"/>
    <w:rsid w:val="00D7767B"/>
    <w:rsid w:val="00D820B4"/>
    <w:rsid w:val="00D83066"/>
    <w:rsid w:val="00D922DD"/>
    <w:rsid w:val="00DA362E"/>
    <w:rsid w:val="00DB04AD"/>
    <w:rsid w:val="00DB1503"/>
    <w:rsid w:val="00DB3F08"/>
    <w:rsid w:val="00DC03C3"/>
    <w:rsid w:val="00DD0E0B"/>
    <w:rsid w:val="00DE5C6C"/>
    <w:rsid w:val="00DF4B82"/>
    <w:rsid w:val="00DF6788"/>
    <w:rsid w:val="00E06FF1"/>
    <w:rsid w:val="00E10775"/>
    <w:rsid w:val="00E13578"/>
    <w:rsid w:val="00E15D0E"/>
    <w:rsid w:val="00E230BB"/>
    <w:rsid w:val="00E30A44"/>
    <w:rsid w:val="00E32111"/>
    <w:rsid w:val="00E33C5F"/>
    <w:rsid w:val="00E50AD9"/>
    <w:rsid w:val="00E61608"/>
    <w:rsid w:val="00E63F84"/>
    <w:rsid w:val="00E6671E"/>
    <w:rsid w:val="00E867AA"/>
    <w:rsid w:val="00EA3415"/>
    <w:rsid w:val="00EB6D50"/>
    <w:rsid w:val="00EC06F5"/>
    <w:rsid w:val="00EC10A0"/>
    <w:rsid w:val="00ED3055"/>
    <w:rsid w:val="00EE6732"/>
    <w:rsid w:val="00EF4D82"/>
    <w:rsid w:val="00EF5A7E"/>
    <w:rsid w:val="00F107BD"/>
    <w:rsid w:val="00F12036"/>
    <w:rsid w:val="00F306C4"/>
    <w:rsid w:val="00F362E0"/>
    <w:rsid w:val="00F4055E"/>
    <w:rsid w:val="00F46095"/>
    <w:rsid w:val="00F57EF0"/>
    <w:rsid w:val="00F6162E"/>
    <w:rsid w:val="00F63A8F"/>
    <w:rsid w:val="00F676E1"/>
    <w:rsid w:val="00F70208"/>
    <w:rsid w:val="00F730CD"/>
    <w:rsid w:val="00F863A0"/>
    <w:rsid w:val="00F937A5"/>
    <w:rsid w:val="00F97C0A"/>
    <w:rsid w:val="00FC1575"/>
    <w:rsid w:val="00FF021A"/>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48DF"/>
  <w15:chartTrackingRefBased/>
  <w15:docId w15:val="{AC4B35CF-1E8E-46A4-A884-E1CD594F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CA2"/>
    <w:pPr>
      <w:autoSpaceDE w:val="0"/>
      <w:autoSpaceDN w:val="0"/>
      <w:adjustRightInd w:val="0"/>
      <w:spacing w:after="240" w:line="23" w:lineRule="atLeast"/>
      <w:ind w:firstLine="720"/>
    </w:pPr>
    <w:rPr>
      <w:rFonts w:cs="NewCenturySchlbk-Roman"/>
    </w:rPr>
  </w:style>
  <w:style w:type="paragraph" w:styleId="Heading1">
    <w:name w:val="heading 1"/>
    <w:basedOn w:val="Normal"/>
    <w:next w:val="Normal"/>
    <w:link w:val="Heading1Char"/>
    <w:uiPriority w:val="9"/>
    <w:qFormat/>
    <w:rsid w:val="00CC2CA2"/>
    <w:pPr>
      <w:ind w:left="1440" w:hanging="720"/>
      <w:outlineLvl w:val="0"/>
    </w:pPr>
    <w:rPr>
      <w:b/>
      <w:sz w:val="32"/>
    </w:rPr>
  </w:style>
  <w:style w:type="paragraph" w:styleId="Heading2">
    <w:name w:val="heading 2"/>
    <w:basedOn w:val="Heading1"/>
    <w:next w:val="Normal"/>
    <w:link w:val="Heading2Char"/>
    <w:uiPriority w:val="9"/>
    <w:unhideWhenUsed/>
    <w:qFormat/>
    <w:rsid w:val="00CC2CA2"/>
    <w:p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CA2"/>
    <w:rPr>
      <w:rFonts w:cs="NewCenturySchlbk-Roman"/>
      <w:b/>
      <w:sz w:val="32"/>
    </w:rPr>
  </w:style>
  <w:style w:type="character" w:customStyle="1" w:styleId="Heading2Char">
    <w:name w:val="Heading 2 Char"/>
    <w:basedOn w:val="DefaultParagraphFont"/>
    <w:link w:val="Heading2"/>
    <w:uiPriority w:val="9"/>
    <w:rsid w:val="00CC2CA2"/>
    <w:rPr>
      <w:rFonts w:cs="NewCenturySchlbk-Roman"/>
      <w:b/>
    </w:rPr>
  </w:style>
  <w:style w:type="paragraph" w:styleId="ListParagraph">
    <w:name w:val="List Paragraph"/>
    <w:basedOn w:val="Normal"/>
    <w:uiPriority w:val="34"/>
    <w:qFormat/>
    <w:rsid w:val="00CC2CA2"/>
    <w:pPr>
      <w:ind w:left="720"/>
      <w:contextualSpacing/>
    </w:pPr>
    <w:rPr>
      <w:rFonts w:ascii="Calibri" w:hAnsi="Calibri" w:cs="Calibri"/>
      <w:lang w:bidi="he-IL"/>
    </w:rPr>
  </w:style>
  <w:style w:type="paragraph" w:styleId="BalloonText">
    <w:name w:val="Balloon Text"/>
    <w:basedOn w:val="Normal"/>
    <w:link w:val="BalloonTextChar"/>
    <w:uiPriority w:val="99"/>
    <w:semiHidden/>
    <w:unhideWhenUsed/>
    <w:rsid w:val="005D1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D6"/>
    <w:rPr>
      <w:rFonts w:ascii="Segoe UI" w:hAnsi="Segoe UI" w:cs="Segoe UI"/>
      <w:sz w:val="18"/>
      <w:szCs w:val="18"/>
    </w:rPr>
  </w:style>
  <w:style w:type="character" w:styleId="CommentReference">
    <w:name w:val="annotation reference"/>
    <w:basedOn w:val="DefaultParagraphFont"/>
    <w:uiPriority w:val="99"/>
    <w:semiHidden/>
    <w:unhideWhenUsed/>
    <w:rsid w:val="0003047D"/>
    <w:rPr>
      <w:sz w:val="16"/>
      <w:szCs w:val="16"/>
    </w:rPr>
  </w:style>
  <w:style w:type="paragraph" w:styleId="CommentText">
    <w:name w:val="annotation text"/>
    <w:basedOn w:val="Normal"/>
    <w:link w:val="CommentTextChar"/>
    <w:uiPriority w:val="99"/>
    <w:semiHidden/>
    <w:unhideWhenUsed/>
    <w:rsid w:val="0003047D"/>
    <w:pPr>
      <w:spacing w:line="240" w:lineRule="auto"/>
    </w:pPr>
    <w:rPr>
      <w:sz w:val="20"/>
      <w:szCs w:val="20"/>
    </w:rPr>
  </w:style>
  <w:style w:type="character" w:customStyle="1" w:styleId="CommentTextChar">
    <w:name w:val="Comment Text Char"/>
    <w:basedOn w:val="DefaultParagraphFont"/>
    <w:link w:val="CommentText"/>
    <w:uiPriority w:val="99"/>
    <w:semiHidden/>
    <w:rsid w:val="0003047D"/>
    <w:rPr>
      <w:rFonts w:cs="NewCenturySchlbk-Roman"/>
      <w:sz w:val="20"/>
      <w:szCs w:val="20"/>
    </w:rPr>
  </w:style>
  <w:style w:type="paragraph" w:styleId="CommentSubject">
    <w:name w:val="annotation subject"/>
    <w:basedOn w:val="CommentText"/>
    <w:next w:val="CommentText"/>
    <w:link w:val="CommentSubjectChar"/>
    <w:uiPriority w:val="99"/>
    <w:semiHidden/>
    <w:unhideWhenUsed/>
    <w:rsid w:val="0003047D"/>
    <w:rPr>
      <w:b/>
      <w:bCs/>
    </w:rPr>
  </w:style>
  <w:style w:type="character" w:customStyle="1" w:styleId="CommentSubjectChar">
    <w:name w:val="Comment Subject Char"/>
    <w:basedOn w:val="CommentTextChar"/>
    <w:link w:val="CommentSubject"/>
    <w:uiPriority w:val="99"/>
    <w:semiHidden/>
    <w:rsid w:val="0003047D"/>
    <w:rPr>
      <w:rFonts w:cs="NewCenturySchlbk-Roman"/>
      <w:b/>
      <w:bCs/>
      <w:sz w:val="20"/>
      <w:szCs w:val="20"/>
    </w:rPr>
  </w:style>
  <w:style w:type="character" w:styleId="Hyperlink">
    <w:name w:val="Hyperlink"/>
    <w:basedOn w:val="DefaultParagraphFont"/>
    <w:uiPriority w:val="99"/>
    <w:unhideWhenUsed/>
    <w:rsid w:val="006C507C"/>
    <w:rPr>
      <w:color w:val="0563C1" w:themeColor="hyperlink"/>
      <w:u w:val="single"/>
    </w:rPr>
  </w:style>
  <w:style w:type="character" w:styleId="UnresolvedMention">
    <w:name w:val="Unresolved Mention"/>
    <w:basedOn w:val="DefaultParagraphFont"/>
    <w:uiPriority w:val="99"/>
    <w:semiHidden/>
    <w:unhideWhenUsed/>
    <w:rsid w:val="006C507C"/>
    <w:rPr>
      <w:color w:val="605E5C"/>
      <w:shd w:val="clear" w:color="auto" w:fill="E1DFDD"/>
    </w:rPr>
  </w:style>
  <w:style w:type="paragraph" w:styleId="Header">
    <w:name w:val="header"/>
    <w:basedOn w:val="Normal"/>
    <w:link w:val="HeaderChar"/>
    <w:uiPriority w:val="99"/>
    <w:unhideWhenUsed/>
    <w:rsid w:val="0032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61"/>
    <w:rPr>
      <w:rFonts w:cs="NewCenturySchlbk-Roman"/>
    </w:rPr>
  </w:style>
  <w:style w:type="paragraph" w:styleId="Footer">
    <w:name w:val="footer"/>
    <w:basedOn w:val="Normal"/>
    <w:link w:val="FooterChar"/>
    <w:uiPriority w:val="99"/>
    <w:unhideWhenUsed/>
    <w:rsid w:val="0032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61"/>
    <w:rPr>
      <w:rFonts w:cs="NewCenturySchlbk-Roman"/>
    </w:rPr>
  </w:style>
  <w:style w:type="paragraph" w:styleId="Revision">
    <w:name w:val="Revision"/>
    <w:hidden/>
    <w:uiPriority w:val="99"/>
    <w:semiHidden/>
    <w:rsid w:val="00485A9B"/>
    <w:pPr>
      <w:spacing w:after="0" w:line="240" w:lineRule="auto"/>
    </w:pPr>
    <w:rPr>
      <w:rFonts w:cs="NewCenturySchlbk-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cfr.gov/cgi-bin/text-idx?SID=f82e9a37d8c7c2503c42e85c77e12d60&amp;mc=true&amp;node=se2.1.200_1306&amp;rgn=div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826edb6bef98ea622ad60fe13869d0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53fe7e79dbd4cf00cc2850b94ecd66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1BA3A-0AD5-4040-9A55-7F309ED37690}">
  <ds:schemaRefs>
    <ds:schemaRef ds:uri="http://schemas.microsoft.com/sharepoint/v3/contenttype/forms"/>
  </ds:schemaRefs>
</ds:datastoreItem>
</file>

<file path=customXml/itemProps2.xml><?xml version="1.0" encoding="utf-8"?>
<ds:datastoreItem xmlns:ds="http://schemas.openxmlformats.org/officeDocument/2006/customXml" ds:itemID="{8C837BA8-6E6E-4BED-B72C-056E044C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37267-E285-4CC6-B4E1-727193A82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Cohen-Boyer, Gillian</dc:creator>
  <cp:keywords/>
  <dc:description/>
  <cp:lastModifiedBy>Howerton, Mia</cp:lastModifiedBy>
  <cp:revision>2</cp:revision>
  <dcterms:created xsi:type="dcterms:W3CDTF">2022-04-05T18:48:00Z</dcterms:created>
  <dcterms:modified xsi:type="dcterms:W3CDTF">2022-04-05T18:48:00Z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