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FE281" w14:textId="4AC57286" w:rsidR="00902F1D" w:rsidRPr="00F767CD" w:rsidRDefault="00F767CD" w:rsidP="00902F1D">
      <w:pPr>
        <w:pStyle w:val="Heading2"/>
        <w:rPr>
          <w:rFonts w:asciiTheme="minorHAnsi" w:hAnsiTheme="minorHAnsi" w:cstheme="minorHAnsi"/>
          <w:b/>
          <w:color w:val="auto"/>
          <w:sz w:val="28"/>
          <w:szCs w:val="28"/>
        </w:rPr>
      </w:pPr>
      <w:bookmarkStart w:id="0" w:name="_GoBack"/>
      <w:bookmarkEnd w:id="0"/>
      <w:r w:rsidRPr="00F767CD">
        <w:rPr>
          <w:b/>
          <w:color w:val="auto"/>
          <w:sz w:val="28"/>
          <w:szCs w:val="28"/>
        </w:rPr>
        <w:t>Additional Submission for MOE Waiver</w:t>
      </w:r>
    </w:p>
    <w:p w14:paraId="13C75214" w14:textId="77777777" w:rsidR="00F767CD" w:rsidRPr="00F767CD" w:rsidRDefault="00F767CD" w:rsidP="00F767CD"/>
    <w:p w14:paraId="0257286C" w14:textId="28926145" w:rsidR="00902F1D" w:rsidRDefault="00902F1D" w:rsidP="00035219">
      <w:pPr>
        <w:pStyle w:val="ListParagraph"/>
        <w:numPr>
          <w:ilvl w:val="0"/>
          <w:numId w:val="5"/>
        </w:numPr>
        <w:ind w:left="360"/>
        <w:rPr>
          <w:b/>
          <w:bCs/>
        </w:rPr>
      </w:pPr>
      <w:r w:rsidRPr="0008666B">
        <w:rPr>
          <w:b/>
          <w:bCs/>
        </w:rPr>
        <w:t>A description of the extent to which the State experienced fiscal burdens in preventing, preparing for, and responding to the coronavirus and an explanation of how those fiscal burdens affected the State’s ability to maintain fiscal effort (e.g., the status of and any changes to the State’s rainy day fund, whether the State experienced a decline in revenues, or an increase in other emergency expenses resulting from the pandemic, such as expenses related to health care, unemployment insurance, or support for small businesses).</w:t>
      </w:r>
    </w:p>
    <w:p w14:paraId="12AA6E6F" w14:textId="77777777" w:rsidR="006A0626" w:rsidRPr="0008666B" w:rsidRDefault="006A0626" w:rsidP="006A0626">
      <w:pPr>
        <w:pStyle w:val="ListParagraph"/>
        <w:ind w:left="360"/>
        <w:rPr>
          <w:b/>
          <w:bCs/>
        </w:rPr>
      </w:pPr>
    </w:p>
    <w:p w14:paraId="76D996C5" w14:textId="221F6C89" w:rsidR="00CB25EB" w:rsidRDefault="00FC7241" w:rsidP="00902F1D">
      <w:r>
        <w:t xml:space="preserve">The State of Minnesota experienced a precipitous decline </w:t>
      </w:r>
      <w:r w:rsidR="00DE18F0">
        <w:t xml:space="preserve">in revenues in calendar year 2020 due to the pandemic and resulting economic </w:t>
      </w:r>
      <w:r w:rsidR="0015646A">
        <w:t xml:space="preserve">changes.  According to the parameters delineated in the interim final rule </w:t>
      </w:r>
      <w:r w:rsidR="005F45FC">
        <w:t xml:space="preserve">for use of ARPA </w:t>
      </w:r>
      <w:r w:rsidR="00943EB4">
        <w:t xml:space="preserve">state fiscal stabilization funds </w:t>
      </w:r>
      <w:r w:rsidR="006661E4">
        <w:t xml:space="preserve">(SFRF) </w:t>
      </w:r>
      <w:r w:rsidR="00943EB4">
        <w:t>for revenue replacement and the provision of government services, th</w:t>
      </w:r>
      <w:r w:rsidR="00BF0A93">
        <w:t>e</w:t>
      </w:r>
      <w:r w:rsidR="00943EB4">
        <w:t xml:space="preserve"> state of Minnesota </w:t>
      </w:r>
      <w:r w:rsidR="00F82774">
        <w:t>collected approximately $2.</w:t>
      </w:r>
      <w:r w:rsidR="00745CAC">
        <w:t>0</w:t>
      </w:r>
      <w:r w:rsidR="00F82774">
        <w:t xml:space="preserve"> billion less revenue tha</w:t>
      </w:r>
      <w:r w:rsidR="00745CAC">
        <w:t>n</w:t>
      </w:r>
      <w:r w:rsidR="00F82774">
        <w:t xml:space="preserve"> it would have absent the pandemic during calendar year 2020.  </w:t>
      </w:r>
      <w:r w:rsidR="00FB33FC">
        <w:t xml:space="preserve">In addition to revenue losses </w:t>
      </w:r>
      <w:r w:rsidR="00DC6B2F">
        <w:t xml:space="preserve">experienced during calendar year 2020, the state also committed $744 million in </w:t>
      </w:r>
      <w:r w:rsidR="00A974EF">
        <w:t xml:space="preserve">state funds (not including federal sources) to pandemic </w:t>
      </w:r>
      <w:r w:rsidR="00FD6052">
        <w:t>response</w:t>
      </w:r>
      <w:r w:rsidR="0069228F">
        <w:t xml:space="preserve">.  State funded response </w:t>
      </w:r>
      <w:r w:rsidR="00124E8A">
        <w:t xml:space="preserve">activities included testing, emergency food shelf response, housing, </w:t>
      </w:r>
      <w:r w:rsidR="00DA604C">
        <w:t xml:space="preserve">shelter, PPE, long term care staffing, </w:t>
      </w:r>
      <w:r w:rsidR="00490766">
        <w:t xml:space="preserve">business payments, grants to health care providers, and staffing for local public health.  </w:t>
      </w:r>
      <w:r w:rsidR="00CB25EB">
        <w:t xml:space="preserve"> </w:t>
      </w:r>
      <w:r w:rsidR="00A00D39">
        <w:t xml:space="preserve">Given the </w:t>
      </w:r>
      <w:r w:rsidR="00107FB6">
        <w:t xml:space="preserve">revenue decline in calendar year 2020 and the commitment to </w:t>
      </w:r>
      <w:r w:rsidR="00567F70">
        <w:t>pandemic response activities Minnesota’s enacted FY 2022-23 bu</w:t>
      </w:r>
      <w:r w:rsidR="004537BD">
        <w:t xml:space="preserve">dget relies on </w:t>
      </w:r>
      <w:r w:rsidR="00D13755">
        <w:t xml:space="preserve">$591 million in rainy days funds and </w:t>
      </w:r>
      <w:r w:rsidR="00F16DA9">
        <w:t>$6</w:t>
      </w:r>
      <w:r w:rsidR="006661E4">
        <w:t>3</w:t>
      </w:r>
      <w:r w:rsidR="00F16DA9">
        <w:t>3</w:t>
      </w:r>
      <w:r w:rsidR="006661E4">
        <w:t xml:space="preserve"> million in ARPA SFRF funds </w:t>
      </w:r>
      <w:r w:rsidR="002A65B7">
        <w:t xml:space="preserve">to offset expenditures exceeding expected revenue collections.  </w:t>
      </w:r>
      <w:r w:rsidR="004D1080">
        <w:t xml:space="preserve">Finally, like many states Minnesota experienced increased demands on </w:t>
      </w:r>
      <w:r w:rsidR="002E0195">
        <w:t>its</w:t>
      </w:r>
      <w:r w:rsidR="004D1080">
        <w:t xml:space="preserve"> unemployment insurance program during the pandemic.  As of </w:t>
      </w:r>
      <w:r w:rsidR="3CA30785">
        <w:t>November</w:t>
      </w:r>
      <w:r w:rsidR="004D1080">
        <w:t xml:space="preserve"> 2021, Minnesota’s unemployment insurance trust fund carried a $1.1</w:t>
      </w:r>
      <w:r w:rsidR="3D56BA8C">
        <w:t>7</w:t>
      </w:r>
      <w:r w:rsidR="004D1080">
        <w:t xml:space="preserve"> billion deficit</w:t>
      </w:r>
      <w:r w:rsidR="002E0195">
        <w:t>.</w:t>
      </w:r>
      <w:r w:rsidR="004D1080">
        <w:t xml:space="preserve"> </w:t>
      </w:r>
      <w:r w:rsidR="00FE0700">
        <w:t xml:space="preserve">As noted in the response to Question 3 below, Minnesota has increased support for </w:t>
      </w:r>
      <w:r w:rsidR="00495469">
        <w:t>E-12 and Higher Education</w:t>
      </w:r>
      <w:r w:rsidR="00FE0700">
        <w:t xml:space="preserve"> </w:t>
      </w:r>
      <w:r w:rsidR="009F265A">
        <w:t xml:space="preserve">despite these fiscal burdens. </w:t>
      </w:r>
      <w:r w:rsidR="00003E1D">
        <w:t xml:space="preserve">In the absence of these fiscal burdens, Minnesota would </w:t>
      </w:r>
      <w:r w:rsidR="00B62848">
        <w:t xml:space="preserve">have </w:t>
      </w:r>
      <w:r w:rsidR="00003E1D">
        <w:t>had a</w:t>
      </w:r>
      <w:r w:rsidR="00B62848">
        <w:t>n even</w:t>
      </w:r>
      <w:r w:rsidR="00003E1D">
        <w:t xml:space="preserve"> greater ability support education a</w:t>
      </w:r>
      <w:r w:rsidR="00120415">
        <w:t xml:space="preserve">s a percentage of overall state </w:t>
      </w:r>
      <w:r w:rsidR="000A2035">
        <w:t>spending</w:t>
      </w:r>
      <w:r w:rsidR="0037468C">
        <w:t>.</w:t>
      </w:r>
    </w:p>
    <w:p w14:paraId="3A999A48" w14:textId="0BC8BC8D" w:rsidR="00457958" w:rsidRDefault="00457958"/>
    <w:p w14:paraId="000BF602" w14:textId="04E49A01" w:rsidR="009B5865" w:rsidRPr="006A0626" w:rsidRDefault="009B5865" w:rsidP="00035219">
      <w:pPr>
        <w:pStyle w:val="ListParagraph"/>
        <w:numPr>
          <w:ilvl w:val="0"/>
          <w:numId w:val="5"/>
        </w:numPr>
        <w:ind w:left="360"/>
        <w:rPr>
          <w:b/>
          <w:bCs/>
          <w:sz w:val="20"/>
          <w:szCs w:val="20"/>
        </w:rPr>
      </w:pPr>
      <w:r w:rsidRPr="006A0626">
        <w:rPr>
          <w:b/>
          <w:bCs/>
          <w:sz w:val="20"/>
          <w:szCs w:val="20"/>
        </w:rPr>
        <w:t>Documentation and data supporting the description of the State’s fiscal burdens (e.g., revenue data, appropriation tables, unemployment statistics, etc.) including any State action that impacted State revenue (e.g., tax increases or decreases).</w:t>
      </w:r>
    </w:p>
    <w:tbl>
      <w:tblPr>
        <w:tblW w:w="9266" w:type="dxa"/>
        <w:tblLook w:val="04A0" w:firstRow="1" w:lastRow="0" w:firstColumn="1" w:lastColumn="0" w:noHBand="0" w:noVBand="1"/>
      </w:tblPr>
      <w:tblGrid>
        <w:gridCol w:w="6811"/>
        <w:gridCol w:w="814"/>
        <w:gridCol w:w="1527"/>
        <w:gridCol w:w="114"/>
      </w:tblGrid>
      <w:tr w:rsidR="00BB5C2F" w:rsidRPr="00BB5C2F" w14:paraId="0B7A0E50"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047C0398" w14:textId="77777777" w:rsidR="00BB5C2F" w:rsidRPr="00BB5C2F" w:rsidRDefault="00BB5C2F" w:rsidP="00BB5C2F">
            <w:pPr>
              <w:spacing w:after="0" w:line="240" w:lineRule="auto"/>
              <w:rPr>
                <w:rFonts w:ascii="Calibri" w:eastAsia="Times New Roman" w:hAnsi="Calibri" w:cs="Calibri"/>
                <w:b/>
                <w:bCs/>
                <w:color w:val="000000"/>
              </w:rPr>
            </w:pPr>
            <w:r w:rsidRPr="00BB5C2F">
              <w:rPr>
                <w:rFonts w:ascii="Calibri" w:eastAsia="Times New Roman" w:hAnsi="Calibri" w:cs="Calibri"/>
                <w:b/>
                <w:bCs/>
                <w:color w:val="000000"/>
              </w:rPr>
              <w:t>State of Minnesota Revenue Loss</w:t>
            </w:r>
          </w:p>
        </w:tc>
        <w:tc>
          <w:tcPr>
            <w:tcW w:w="2340" w:type="dxa"/>
            <w:gridSpan w:val="2"/>
            <w:tcBorders>
              <w:top w:val="nil"/>
              <w:left w:val="nil"/>
              <w:bottom w:val="nil"/>
              <w:right w:val="nil"/>
            </w:tcBorders>
            <w:shd w:val="clear" w:color="auto" w:fill="auto"/>
            <w:noWrap/>
            <w:vAlign w:val="bottom"/>
            <w:hideMark/>
          </w:tcPr>
          <w:p w14:paraId="24A28FF9" w14:textId="77777777" w:rsidR="00BB5C2F" w:rsidRPr="00BB5C2F" w:rsidRDefault="00BB5C2F" w:rsidP="00BB5C2F">
            <w:pPr>
              <w:spacing w:after="0" w:line="240" w:lineRule="auto"/>
              <w:rPr>
                <w:rFonts w:ascii="Calibri" w:eastAsia="Times New Roman" w:hAnsi="Calibri" w:cs="Calibri"/>
                <w:b/>
                <w:bCs/>
                <w:color w:val="000000"/>
              </w:rPr>
            </w:pPr>
          </w:p>
        </w:tc>
      </w:tr>
      <w:tr w:rsidR="00BB5C2F" w:rsidRPr="00BB5C2F" w14:paraId="3107EF6A" w14:textId="77777777" w:rsidTr="006A0626">
        <w:trPr>
          <w:gridAfter w:val="1"/>
          <w:wAfter w:w="114" w:type="dxa"/>
          <w:trHeight w:val="172"/>
        </w:trPr>
        <w:tc>
          <w:tcPr>
            <w:tcW w:w="9152" w:type="dxa"/>
            <w:gridSpan w:val="3"/>
            <w:tcBorders>
              <w:top w:val="nil"/>
              <w:left w:val="nil"/>
              <w:bottom w:val="nil"/>
              <w:right w:val="nil"/>
            </w:tcBorders>
            <w:shd w:val="clear" w:color="auto" w:fill="auto"/>
            <w:noWrap/>
            <w:vAlign w:val="bottom"/>
            <w:hideMark/>
          </w:tcPr>
          <w:p w14:paraId="6483D825" w14:textId="77777777" w:rsidR="00BB5C2F" w:rsidRPr="00BB5C2F" w:rsidRDefault="00BB5C2F" w:rsidP="00BB5C2F">
            <w:pPr>
              <w:spacing w:after="0" w:line="240" w:lineRule="auto"/>
              <w:rPr>
                <w:rFonts w:ascii="Calibri" w:eastAsia="Times New Roman" w:hAnsi="Calibri" w:cs="Calibri"/>
                <w:i/>
                <w:iCs/>
                <w:color w:val="000000"/>
              </w:rPr>
            </w:pPr>
            <w:r w:rsidRPr="00BB5C2F">
              <w:rPr>
                <w:rFonts w:ascii="Calibri" w:eastAsia="Times New Roman" w:hAnsi="Calibri" w:cs="Calibri"/>
                <w:i/>
                <w:iCs/>
                <w:color w:val="000000"/>
              </w:rPr>
              <w:t>As Defined by US Department of Treasury Interim Final Rule*</w:t>
            </w:r>
          </w:p>
        </w:tc>
      </w:tr>
      <w:tr w:rsidR="00BB5C2F" w:rsidRPr="00BB5C2F" w14:paraId="50B09F13"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2763D08E" w14:textId="77777777" w:rsidR="006A0626" w:rsidRDefault="006A0626" w:rsidP="00BB5C2F">
            <w:pPr>
              <w:spacing w:after="0" w:line="240" w:lineRule="auto"/>
              <w:rPr>
                <w:rFonts w:ascii="Calibri" w:eastAsia="Times New Roman" w:hAnsi="Calibri" w:cs="Calibri"/>
                <w:b/>
                <w:bCs/>
                <w:color w:val="000000"/>
              </w:rPr>
            </w:pPr>
          </w:p>
          <w:p w14:paraId="18788589" w14:textId="55EAAFB7" w:rsidR="00BB5C2F" w:rsidRPr="00BB5C2F" w:rsidRDefault="00BB5C2F" w:rsidP="00BB5C2F">
            <w:pPr>
              <w:spacing w:after="0" w:line="240" w:lineRule="auto"/>
              <w:rPr>
                <w:rFonts w:ascii="Calibri" w:eastAsia="Times New Roman" w:hAnsi="Calibri" w:cs="Calibri"/>
                <w:b/>
                <w:bCs/>
                <w:color w:val="000000"/>
              </w:rPr>
            </w:pPr>
            <w:r w:rsidRPr="00BB5C2F">
              <w:rPr>
                <w:rFonts w:ascii="Calibri" w:eastAsia="Times New Roman" w:hAnsi="Calibri" w:cs="Calibri"/>
                <w:b/>
                <w:bCs/>
                <w:color w:val="000000"/>
              </w:rPr>
              <w:t>Calendar Year 2020</w:t>
            </w:r>
          </w:p>
        </w:tc>
        <w:tc>
          <w:tcPr>
            <w:tcW w:w="2340" w:type="dxa"/>
            <w:gridSpan w:val="2"/>
            <w:tcBorders>
              <w:top w:val="nil"/>
              <w:left w:val="nil"/>
              <w:bottom w:val="nil"/>
              <w:right w:val="nil"/>
            </w:tcBorders>
            <w:shd w:val="clear" w:color="auto" w:fill="auto"/>
            <w:noWrap/>
            <w:vAlign w:val="bottom"/>
            <w:hideMark/>
          </w:tcPr>
          <w:p w14:paraId="62A78BF2" w14:textId="77777777" w:rsidR="00BB5C2F" w:rsidRPr="00BB5C2F" w:rsidRDefault="00BB5C2F" w:rsidP="00BB5C2F">
            <w:pPr>
              <w:spacing w:after="0" w:line="240" w:lineRule="auto"/>
              <w:rPr>
                <w:rFonts w:ascii="Calibri" w:eastAsia="Times New Roman" w:hAnsi="Calibri" w:cs="Calibri"/>
                <w:b/>
                <w:bCs/>
                <w:color w:val="000000"/>
              </w:rPr>
            </w:pPr>
          </w:p>
        </w:tc>
      </w:tr>
      <w:tr w:rsidR="00BB5C2F" w:rsidRPr="00BB5C2F" w14:paraId="0967C9A9"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22D385C7" w14:textId="77777777" w:rsidR="00BB5C2F" w:rsidRPr="00BB5C2F" w:rsidRDefault="00BB5C2F" w:rsidP="00BB5C2F">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14:paraId="27BFF005" w14:textId="77777777" w:rsidR="00BB5C2F" w:rsidRPr="00BB5C2F" w:rsidRDefault="00BB5C2F" w:rsidP="00BB5C2F">
            <w:pPr>
              <w:spacing w:after="0" w:line="240" w:lineRule="auto"/>
              <w:rPr>
                <w:rFonts w:ascii="Times New Roman" w:eastAsia="Times New Roman" w:hAnsi="Times New Roman" w:cs="Times New Roman"/>
                <w:sz w:val="20"/>
                <w:szCs w:val="20"/>
              </w:rPr>
            </w:pPr>
          </w:p>
        </w:tc>
      </w:tr>
      <w:tr w:rsidR="00BB5C2F" w:rsidRPr="00BB5C2F" w14:paraId="30376BF5"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6DB003B3" w14:textId="77777777" w:rsidR="00BB5C2F" w:rsidRPr="00BB5C2F" w:rsidRDefault="00BB5C2F" w:rsidP="00BB5C2F">
            <w:pPr>
              <w:spacing w:after="0" w:line="240" w:lineRule="auto"/>
              <w:rPr>
                <w:rFonts w:ascii="Calibri" w:eastAsia="Times New Roman" w:hAnsi="Calibri" w:cs="Calibri"/>
                <w:color w:val="000000"/>
              </w:rPr>
            </w:pPr>
            <w:r w:rsidRPr="00BB5C2F">
              <w:rPr>
                <w:rFonts w:ascii="Calibri" w:eastAsia="Times New Roman" w:hAnsi="Calibri" w:cs="Calibri"/>
                <w:color w:val="000000"/>
              </w:rPr>
              <w:t>Fiscal Year 2019 Base Year Revenue</w:t>
            </w:r>
          </w:p>
        </w:tc>
        <w:tc>
          <w:tcPr>
            <w:tcW w:w="2340" w:type="dxa"/>
            <w:gridSpan w:val="2"/>
            <w:tcBorders>
              <w:top w:val="nil"/>
              <w:left w:val="nil"/>
              <w:bottom w:val="nil"/>
              <w:right w:val="nil"/>
            </w:tcBorders>
            <w:shd w:val="clear" w:color="auto" w:fill="auto"/>
            <w:noWrap/>
            <w:vAlign w:val="bottom"/>
            <w:hideMark/>
          </w:tcPr>
          <w:p w14:paraId="148AE9C8" w14:textId="77777777" w:rsidR="00BB5C2F" w:rsidRPr="00BB5C2F" w:rsidRDefault="00BB5C2F" w:rsidP="00BB5C2F">
            <w:pPr>
              <w:spacing w:after="0" w:line="240" w:lineRule="auto"/>
              <w:jc w:val="right"/>
              <w:rPr>
                <w:rFonts w:ascii="Calibri" w:eastAsia="Times New Roman" w:hAnsi="Calibri" w:cs="Calibri"/>
                <w:color w:val="000000"/>
              </w:rPr>
            </w:pPr>
            <w:r w:rsidRPr="00BB5C2F">
              <w:rPr>
                <w:rFonts w:ascii="Calibri" w:eastAsia="Times New Roman" w:hAnsi="Calibri" w:cs="Calibri"/>
                <w:color w:val="000000"/>
              </w:rPr>
              <w:t xml:space="preserve">$30,178,105,518 </w:t>
            </w:r>
          </w:p>
        </w:tc>
      </w:tr>
      <w:tr w:rsidR="00BB5C2F" w:rsidRPr="00BB5C2F" w14:paraId="126289DC"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593568B9" w14:textId="77777777" w:rsidR="00BB5C2F" w:rsidRPr="00BB5C2F" w:rsidRDefault="00BB5C2F" w:rsidP="00BB5C2F">
            <w:pPr>
              <w:spacing w:after="0" w:line="240" w:lineRule="auto"/>
              <w:rPr>
                <w:rFonts w:ascii="Calibri" w:eastAsia="Times New Roman" w:hAnsi="Calibri" w:cs="Calibri"/>
                <w:color w:val="000000"/>
              </w:rPr>
            </w:pPr>
            <w:r w:rsidRPr="00BB5C2F">
              <w:rPr>
                <w:rFonts w:ascii="Calibri" w:eastAsia="Times New Roman" w:hAnsi="Calibri" w:cs="Calibri"/>
                <w:color w:val="000000"/>
              </w:rPr>
              <w:t>Growth rate over 3 prior year, or 4.1 percent</w:t>
            </w:r>
          </w:p>
        </w:tc>
        <w:tc>
          <w:tcPr>
            <w:tcW w:w="2340" w:type="dxa"/>
            <w:gridSpan w:val="2"/>
            <w:tcBorders>
              <w:top w:val="nil"/>
              <w:left w:val="nil"/>
              <w:bottom w:val="nil"/>
              <w:right w:val="nil"/>
            </w:tcBorders>
            <w:shd w:val="clear" w:color="auto" w:fill="auto"/>
            <w:noWrap/>
            <w:vAlign w:val="bottom"/>
            <w:hideMark/>
          </w:tcPr>
          <w:p w14:paraId="70FF6F6D" w14:textId="77777777" w:rsidR="00BB5C2F" w:rsidRPr="00BB5C2F" w:rsidRDefault="00BB5C2F" w:rsidP="00BB5C2F">
            <w:pPr>
              <w:spacing w:after="0" w:line="240" w:lineRule="auto"/>
              <w:jc w:val="right"/>
              <w:rPr>
                <w:rFonts w:ascii="Calibri" w:eastAsia="Times New Roman" w:hAnsi="Calibri" w:cs="Calibri"/>
                <w:color w:val="000000"/>
              </w:rPr>
            </w:pPr>
            <w:r w:rsidRPr="00BB5C2F">
              <w:rPr>
                <w:rFonts w:ascii="Calibri" w:eastAsia="Times New Roman" w:hAnsi="Calibri" w:cs="Calibri"/>
                <w:color w:val="000000"/>
              </w:rPr>
              <w:t>4.1%</w:t>
            </w:r>
          </w:p>
        </w:tc>
      </w:tr>
      <w:tr w:rsidR="00BB5C2F" w:rsidRPr="00BB5C2F" w14:paraId="0D611FA5"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694F67B4" w14:textId="77777777" w:rsidR="00BB5C2F" w:rsidRPr="00BB5C2F" w:rsidRDefault="00BB5C2F" w:rsidP="00BB5C2F">
            <w:pPr>
              <w:spacing w:after="0" w:line="240" w:lineRule="auto"/>
              <w:rPr>
                <w:rFonts w:ascii="Calibri" w:eastAsia="Times New Roman" w:hAnsi="Calibri" w:cs="Calibri"/>
                <w:color w:val="000000"/>
              </w:rPr>
            </w:pPr>
            <w:r w:rsidRPr="00BB5C2F">
              <w:rPr>
                <w:rFonts w:ascii="Calibri" w:eastAsia="Times New Roman" w:hAnsi="Calibri" w:cs="Calibri"/>
                <w:color w:val="000000"/>
              </w:rPr>
              <w:t>Months between end of FY 2019 and CY 2020</w:t>
            </w:r>
          </w:p>
        </w:tc>
        <w:tc>
          <w:tcPr>
            <w:tcW w:w="2340" w:type="dxa"/>
            <w:gridSpan w:val="2"/>
            <w:tcBorders>
              <w:top w:val="nil"/>
              <w:left w:val="nil"/>
              <w:bottom w:val="nil"/>
              <w:right w:val="nil"/>
            </w:tcBorders>
            <w:shd w:val="clear" w:color="auto" w:fill="auto"/>
            <w:noWrap/>
            <w:vAlign w:val="bottom"/>
            <w:hideMark/>
          </w:tcPr>
          <w:p w14:paraId="264A59BB" w14:textId="77777777" w:rsidR="00BB5C2F" w:rsidRPr="00BB5C2F" w:rsidRDefault="00BB5C2F" w:rsidP="00BB5C2F">
            <w:pPr>
              <w:spacing w:after="0" w:line="240" w:lineRule="auto"/>
              <w:jc w:val="right"/>
              <w:rPr>
                <w:rFonts w:ascii="Calibri" w:eastAsia="Times New Roman" w:hAnsi="Calibri" w:cs="Calibri"/>
                <w:color w:val="000000"/>
              </w:rPr>
            </w:pPr>
            <w:r w:rsidRPr="00BB5C2F">
              <w:rPr>
                <w:rFonts w:ascii="Calibri" w:eastAsia="Times New Roman" w:hAnsi="Calibri" w:cs="Calibri"/>
                <w:color w:val="000000"/>
              </w:rPr>
              <w:t>18</w:t>
            </w:r>
          </w:p>
        </w:tc>
      </w:tr>
      <w:tr w:rsidR="00BB5C2F" w:rsidRPr="00BB5C2F" w14:paraId="2F6F9A4A"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6207C612" w14:textId="77777777" w:rsidR="00BB5C2F" w:rsidRPr="00BB5C2F" w:rsidRDefault="00BB5C2F" w:rsidP="00BB5C2F">
            <w:pPr>
              <w:spacing w:after="0" w:line="240" w:lineRule="auto"/>
              <w:jc w:val="right"/>
              <w:rPr>
                <w:rFonts w:ascii="Calibri" w:eastAsia="Times New Roman" w:hAnsi="Calibri" w:cs="Calibri"/>
                <w:color w:val="000000"/>
              </w:rPr>
            </w:pPr>
          </w:p>
        </w:tc>
        <w:tc>
          <w:tcPr>
            <w:tcW w:w="2340" w:type="dxa"/>
            <w:gridSpan w:val="2"/>
            <w:tcBorders>
              <w:top w:val="nil"/>
              <w:left w:val="nil"/>
              <w:bottom w:val="nil"/>
              <w:right w:val="nil"/>
            </w:tcBorders>
            <w:shd w:val="clear" w:color="auto" w:fill="auto"/>
            <w:noWrap/>
            <w:vAlign w:val="bottom"/>
            <w:hideMark/>
          </w:tcPr>
          <w:p w14:paraId="5F46852B" w14:textId="77777777" w:rsidR="00BB5C2F" w:rsidRPr="00BB5C2F" w:rsidRDefault="00BB5C2F" w:rsidP="00BB5C2F">
            <w:pPr>
              <w:spacing w:after="0" w:line="240" w:lineRule="auto"/>
              <w:rPr>
                <w:rFonts w:ascii="Times New Roman" w:eastAsia="Times New Roman" w:hAnsi="Times New Roman" w:cs="Times New Roman"/>
                <w:sz w:val="20"/>
                <w:szCs w:val="20"/>
              </w:rPr>
            </w:pPr>
          </w:p>
        </w:tc>
      </w:tr>
      <w:tr w:rsidR="00BB5C2F" w:rsidRPr="00BB5C2F" w14:paraId="13346407"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677ED04A" w14:textId="77777777" w:rsidR="00BB5C2F" w:rsidRPr="00BB5C2F" w:rsidRDefault="00BB5C2F" w:rsidP="00BB5C2F">
            <w:pPr>
              <w:spacing w:after="0" w:line="240" w:lineRule="auto"/>
              <w:rPr>
                <w:rFonts w:ascii="Calibri" w:eastAsia="Times New Roman" w:hAnsi="Calibri" w:cs="Calibri"/>
                <w:color w:val="000000"/>
              </w:rPr>
            </w:pPr>
            <w:r w:rsidRPr="00BB5C2F">
              <w:rPr>
                <w:rFonts w:ascii="Calibri" w:eastAsia="Times New Roman" w:hAnsi="Calibri" w:cs="Calibri"/>
                <w:color w:val="000000"/>
              </w:rPr>
              <w:t>Counterfactual Revenue**</w:t>
            </w:r>
          </w:p>
        </w:tc>
        <w:tc>
          <w:tcPr>
            <w:tcW w:w="2340" w:type="dxa"/>
            <w:gridSpan w:val="2"/>
            <w:tcBorders>
              <w:top w:val="nil"/>
              <w:left w:val="nil"/>
              <w:bottom w:val="nil"/>
              <w:right w:val="nil"/>
            </w:tcBorders>
            <w:shd w:val="clear" w:color="auto" w:fill="auto"/>
            <w:noWrap/>
            <w:vAlign w:val="bottom"/>
            <w:hideMark/>
          </w:tcPr>
          <w:p w14:paraId="070984B2" w14:textId="77777777" w:rsidR="00BB5C2F" w:rsidRPr="00BB5C2F" w:rsidRDefault="00BB5C2F" w:rsidP="00BB5C2F">
            <w:pPr>
              <w:spacing w:after="0" w:line="240" w:lineRule="auto"/>
              <w:jc w:val="right"/>
              <w:rPr>
                <w:rFonts w:ascii="Calibri" w:eastAsia="Times New Roman" w:hAnsi="Calibri" w:cs="Calibri"/>
                <w:color w:val="000000"/>
              </w:rPr>
            </w:pPr>
            <w:r w:rsidRPr="00BB5C2F">
              <w:rPr>
                <w:rFonts w:ascii="Calibri" w:eastAsia="Times New Roman" w:hAnsi="Calibri" w:cs="Calibri"/>
                <w:color w:val="000000"/>
              </w:rPr>
              <w:t xml:space="preserve">$32,052,954,495 </w:t>
            </w:r>
          </w:p>
        </w:tc>
      </w:tr>
      <w:tr w:rsidR="00BB5C2F" w:rsidRPr="00BB5C2F" w14:paraId="5CCD6B4A"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5BEE1F55" w14:textId="77777777" w:rsidR="00BB5C2F" w:rsidRPr="00BB5C2F" w:rsidRDefault="00BB5C2F" w:rsidP="00BB5C2F">
            <w:pPr>
              <w:spacing w:after="0" w:line="240" w:lineRule="auto"/>
              <w:jc w:val="right"/>
              <w:rPr>
                <w:rFonts w:ascii="Calibri" w:eastAsia="Times New Roman" w:hAnsi="Calibri" w:cs="Calibri"/>
                <w:color w:val="000000"/>
              </w:rPr>
            </w:pPr>
          </w:p>
        </w:tc>
        <w:tc>
          <w:tcPr>
            <w:tcW w:w="2340" w:type="dxa"/>
            <w:gridSpan w:val="2"/>
            <w:tcBorders>
              <w:top w:val="nil"/>
              <w:left w:val="nil"/>
              <w:bottom w:val="nil"/>
              <w:right w:val="nil"/>
            </w:tcBorders>
            <w:shd w:val="clear" w:color="auto" w:fill="auto"/>
            <w:noWrap/>
            <w:vAlign w:val="bottom"/>
            <w:hideMark/>
          </w:tcPr>
          <w:p w14:paraId="5934E1F5" w14:textId="77777777" w:rsidR="00BB5C2F" w:rsidRPr="00BB5C2F" w:rsidRDefault="00BB5C2F" w:rsidP="00BB5C2F">
            <w:pPr>
              <w:spacing w:after="0" w:line="240" w:lineRule="auto"/>
              <w:rPr>
                <w:rFonts w:ascii="Times New Roman" w:eastAsia="Times New Roman" w:hAnsi="Times New Roman" w:cs="Times New Roman"/>
                <w:sz w:val="20"/>
                <w:szCs w:val="20"/>
              </w:rPr>
            </w:pPr>
          </w:p>
        </w:tc>
      </w:tr>
      <w:tr w:rsidR="00BB5C2F" w:rsidRPr="00BB5C2F" w14:paraId="642FA081"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4F99D651" w14:textId="77777777" w:rsidR="00BB5C2F" w:rsidRPr="00BB5C2F" w:rsidRDefault="00BB5C2F" w:rsidP="00BB5C2F">
            <w:pPr>
              <w:spacing w:after="0" w:line="240" w:lineRule="auto"/>
              <w:rPr>
                <w:rFonts w:ascii="Calibri" w:eastAsia="Times New Roman" w:hAnsi="Calibri" w:cs="Calibri"/>
                <w:color w:val="000000"/>
              </w:rPr>
            </w:pPr>
            <w:r w:rsidRPr="00BB5C2F">
              <w:rPr>
                <w:rFonts w:ascii="Calibri" w:eastAsia="Times New Roman" w:hAnsi="Calibri" w:cs="Calibri"/>
                <w:color w:val="000000"/>
              </w:rPr>
              <w:t>Actual CY 2020 Revenue</w:t>
            </w:r>
          </w:p>
        </w:tc>
        <w:tc>
          <w:tcPr>
            <w:tcW w:w="2340" w:type="dxa"/>
            <w:gridSpan w:val="2"/>
            <w:tcBorders>
              <w:top w:val="nil"/>
              <w:left w:val="nil"/>
              <w:bottom w:val="nil"/>
              <w:right w:val="nil"/>
            </w:tcBorders>
            <w:shd w:val="clear" w:color="auto" w:fill="auto"/>
            <w:noWrap/>
            <w:vAlign w:val="bottom"/>
            <w:hideMark/>
          </w:tcPr>
          <w:p w14:paraId="5BBFB27F" w14:textId="77777777" w:rsidR="00BB5C2F" w:rsidRPr="00BB5C2F" w:rsidRDefault="00BB5C2F" w:rsidP="00BB5C2F">
            <w:pPr>
              <w:spacing w:after="0" w:line="240" w:lineRule="auto"/>
              <w:jc w:val="right"/>
              <w:rPr>
                <w:rFonts w:ascii="Calibri" w:eastAsia="Times New Roman" w:hAnsi="Calibri" w:cs="Calibri"/>
                <w:color w:val="000000"/>
              </w:rPr>
            </w:pPr>
            <w:r w:rsidRPr="00BB5C2F">
              <w:rPr>
                <w:rFonts w:ascii="Calibri" w:eastAsia="Times New Roman" w:hAnsi="Calibri" w:cs="Calibri"/>
                <w:color w:val="000000"/>
              </w:rPr>
              <w:t xml:space="preserve">$30,013,700,392 </w:t>
            </w:r>
          </w:p>
        </w:tc>
      </w:tr>
      <w:tr w:rsidR="00BB5C2F" w:rsidRPr="00BB5C2F" w14:paraId="0F321F0B"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122D640F" w14:textId="77777777" w:rsidR="00BB5C2F" w:rsidRPr="00BB5C2F" w:rsidRDefault="00BB5C2F" w:rsidP="00BB5C2F">
            <w:pPr>
              <w:spacing w:after="0" w:line="240" w:lineRule="auto"/>
              <w:jc w:val="right"/>
              <w:rPr>
                <w:rFonts w:ascii="Calibri" w:eastAsia="Times New Roman" w:hAnsi="Calibri" w:cs="Calibri"/>
                <w:color w:val="000000"/>
              </w:rPr>
            </w:pPr>
          </w:p>
        </w:tc>
        <w:tc>
          <w:tcPr>
            <w:tcW w:w="2340" w:type="dxa"/>
            <w:gridSpan w:val="2"/>
            <w:tcBorders>
              <w:top w:val="single" w:sz="4" w:space="0" w:color="auto"/>
              <w:left w:val="nil"/>
              <w:bottom w:val="nil"/>
              <w:right w:val="nil"/>
            </w:tcBorders>
            <w:shd w:val="clear" w:color="auto" w:fill="auto"/>
            <w:noWrap/>
            <w:vAlign w:val="bottom"/>
            <w:hideMark/>
          </w:tcPr>
          <w:p w14:paraId="72645C34" w14:textId="77777777" w:rsidR="00BB5C2F" w:rsidRPr="00BB5C2F" w:rsidRDefault="00BB5C2F" w:rsidP="00BB5C2F">
            <w:pPr>
              <w:spacing w:after="0" w:line="240" w:lineRule="auto"/>
              <w:rPr>
                <w:rFonts w:ascii="Calibri" w:eastAsia="Times New Roman" w:hAnsi="Calibri" w:cs="Calibri"/>
                <w:color w:val="000000"/>
              </w:rPr>
            </w:pPr>
            <w:r w:rsidRPr="00BB5C2F">
              <w:rPr>
                <w:rFonts w:ascii="Calibri" w:eastAsia="Times New Roman" w:hAnsi="Calibri" w:cs="Calibri"/>
                <w:color w:val="000000"/>
              </w:rPr>
              <w:t> </w:t>
            </w:r>
          </w:p>
        </w:tc>
      </w:tr>
      <w:tr w:rsidR="00BB5C2F" w:rsidRPr="00BB5C2F" w14:paraId="1FD751C4"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10DDAF0F" w14:textId="77777777" w:rsidR="00BB5C2F" w:rsidRPr="00BB5C2F" w:rsidRDefault="00BB5C2F" w:rsidP="00BB5C2F">
            <w:pPr>
              <w:spacing w:after="0" w:line="240" w:lineRule="auto"/>
              <w:rPr>
                <w:rFonts w:ascii="Calibri" w:eastAsia="Times New Roman" w:hAnsi="Calibri" w:cs="Calibri"/>
                <w:b/>
                <w:bCs/>
                <w:color w:val="000000"/>
              </w:rPr>
            </w:pPr>
            <w:r w:rsidRPr="00BB5C2F">
              <w:rPr>
                <w:rFonts w:ascii="Calibri" w:eastAsia="Times New Roman" w:hAnsi="Calibri" w:cs="Calibri"/>
                <w:b/>
                <w:bCs/>
                <w:color w:val="000000"/>
              </w:rPr>
              <w:lastRenderedPageBreak/>
              <w:t>Revenue Loss in CY 2020</w:t>
            </w:r>
          </w:p>
        </w:tc>
        <w:tc>
          <w:tcPr>
            <w:tcW w:w="2340" w:type="dxa"/>
            <w:gridSpan w:val="2"/>
            <w:tcBorders>
              <w:top w:val="nil"/>
              <w:left w:val="nil"/>
              <w:bottom w:val="nil"/>
              <w:right w:val="nil"/>
            </w:tcBorders>
            <w:shd w:val="clear" w:color="auto" w:fill="auto"/>
            <w:noWrap/>
            <w:vAlign w:val="bottom"/>
            <w:hideMark/>
          </w:tcPr>
          <w:p w14:paraId="23917F8F" w14:textId="77777777" w:rsidR="00BB5C2F" w:rsidRPr="00BB5C2F" w:rsidRDefault="00BB5C2F" w:rsidP="00BB5C2F">
            <w:pPr>
              <w:spacing w:after="0" w:line="240" w:lineRule="auto"/>
              <w:jc w:val="right"/>
              <w:rPr>
                <w:rFonts w:ascii="Calibri" w:eastAsia="Times New Roman" w:hAnsi="Calibri" w:cs="Calibri"/>
                <w:b/>
                <w:bCs/>
                <w:color w:val="000000"/>
              </w:rPr>
            </w:pPr>
            <w:r w:rsidRPr="00BB5C2F">
              <w:rPr>
                <w:rFonts w:ascii="Calibri" w:eastAsia="Times New Roman" w:hAnsi="Calibri" w:cs="Calibri"/>
                <w:b/>
                <w:bCs/>
                <w:color w:val="000000"/>
              </w:rPr>
              <w:t xml:space="preserve">$2,039,254,103 </w:t>
            </w:r>
          </w:p>
        </w:tc>
      </w:tr>
      <w:tr w:rsidR="00BB5C2F" w:rsidRPr="00BB5C2F" w14:paraId="6FBD7DD2"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22688440" w14:textId="77777777" w:rsidR="00BB5C2F" w:rsidRPr="00BB5C2F" w:rsidRDefault="00BB5C2F" w:rsidP="00BB5C2F">
            <w:pPr>
              <w:spacing w:after="0" w:line="240" w:lineRule="auto"/>
              <w:jc w:val="right"/>
              <w:rPr>
                <w:rFonts w:ascii="Calibri" w:eastAsia="Times New Roman" w:hAnsi="Calibri" w:cs="Calibri"/>
                <w:b/>
                <w:bCs/>
                <w:color w:val="000000"/>
              </w:rPr>
            </w:pPr>
          </w:p>
        </w:tc>
        <w:tc>
          <w:tcPr>
            <w:tcW w:w="2340" w:type="dxa"/>
            <w:gridSpan w:val="2"/>
            <w:tcBorders>
              <w:top w:val="nil"/>
              <w:left w:val="nil"/>
              <w:bottom w:val="nil"/>
              <w:right w:val="nil"/>
            </w:tcBorders>
            <w:shd w:val="clear" w:color="auto" w:fill="auto"/>
            <w:noWrap/>
            <w:vAlign w:val="bottom"/>
            <w:hideMark/>
          </w:tcPr>
          <w:p w14:paraId="1EA65FFF" w14:textId="77777777" w:rsidR="00BB5C2F" w:rsidRPr="00BB5C2F" w:rsidRDefault="00BB5C2F" w:rsidP="00BB5C2F">
            <w:pPr>
              <w:spacing w:after="0" w:line="240" w:lineRule="auto"/>
              <w:rPr>
                <w:rFonts w:ascii="Times New Roman" w:eastAsia="Times New Roman" w:hAnsi="Times New Roman" w:cs="Times New Roman"/>
                <w:sz w:val="20"/>
                <w:szCs w:val="20"/>
              </w:rPr>
            </w:pPr>
          </w:p>
        </w:tc>
      </w:tr>
      <w:tr w:rsidR="00BB5C2F" w:rsidRPr="00BB5C2F" w14:paraId="2C82C241"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5390C65E" w14:textId="77777777" w:rsidR="00BB5C2F" w:rsidRPr="00BB5C2F" w:rsidRDefault="00BB5C2F" w:rsidP="00BB5C2F">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14:paraId="7416DF55" w14:textId="77777777" w:rsidR="00BB5C2F" w:rsidRPr="00BB5C2F" w:rsidRDefault="00BB5C2F" w:rsidP="00BB5C2F">
            <w:pPr>
              <w:spacing w:after="0" w:line="240" w:lineRule="auto"/>
              <w:rPr>
                <w:rFonts w:ascii="Times New Roman" w:eastAsia="Times New Roman" w:hAnsi="Times New Roman" w:cs="Times New Roman"/>
                <w:sz w:val="20"/>
                <w:szCs w:val="20"/>
              </w:rPr>
            </w:pPr>
          </w:p>
        </w:tc>
      </w:tr>
      <w:tr w:rsidR="00BB5C2F" w:rsidRPr="00BB5C2F" w14:paraId="06F1DD32" w14:textId="77777777" w:rsidTr="006A0626">
        <w:trPr>
          <w:gridAfter w:val="1"/>
          <w:wAfter w:w="114" w:type="dxa"/>
          <w:trHeight w:val="172"/>
        </w:trPr>
        <w:tc>
          <w:tcPr>
            <w:tcW w:w="9152" w:type="dxa"/>
            <w:gridSpan w:val="3"/>
            <w:tcBorders>
              <w:top w:val="nil"/>
              <w:left w:val="nil"/>
              <w:bottom w:val="nil"/>
              <w:right w:val="nil"/>
            </w:tcBorders>
            <w:shd w:val="clear" w:color="auto" w:fill="auto"/>
            <w:noWrap/>
            <w:vAlign w:val="bottom"/>
            <w:hideMark/>
          </w:tcPr>
          <w:p w14:paraId="2F63138D" w14:textId="77777777" w:rsidR="00BB5C2F" w:rsidRPr="00BB5C2F" w:rsidRDefault="00BB5C2F" w:rsidP="00BB5C2F">
            <w:pPr>
              <w:spacing w:after="0" w:line="240" w:lineRule="auto"/>
              <w:rPr>
                <w:rFonts w:ascii="Calibri" w:eastAsia="Times New Roman" w:hAnsi="Calibri" w:cs="Calibri"/>
                <w:color w:val="000000"/>
              </w:rPr>
            </w:pPr>
            <w:r w:rsidRPr="00BB5C2F">
              <w:rPr>
                <w:rFonts w:ascii="Calibri" w:eastAsia="Times New Roman" w:hAnsi="Calibri" w:cs="Calibri"/>
                <w:color w:val="000000"/>
              </w:rPr>
              <w:t>*https://home.treasury.gov/system/files/136/FRF-Interim-Final-Rule.pdf</w:t>
            </w:r>
          </w:p>
        </w:tc>
      </w:tr>
      <w:tr w:rsidR="00BB5C2F" w:rsidRPr="00BB5C2F" w14:paraId="2E52C8BC" w14:textId="77777777" w:rsidTr="006A0626">
        <w:trPr>
          <w:gridAfter w:val="1"/>
          <w:wAfter w:w="115" w:type="dxa"/>
          <w:trHeight w:val="172"/>
        </w:trPr>
        <w:tc>
          <w:tcPr>
            <w:tcW w:w="6811" w:type="dxa"/>
            <w:tcBorders>
              <w:top w:val="nil"/>
              <w:left w:val="nil"/>
              <w:bottom w:val="nil"/>
              <w:right w:val="nil"/>
            </w:tcBorders>
            <w:shd w:val="clear" w:color="auto" w:fill="auto"/>
            <w:noWrap/>
            <w:vAlign w:val="bottom"/>
            <w:hideMark/>
          </w:tcPr>
          <w:p w14:paraId="38BA2F4E" w14:textId="77777777" w:rsidR="00BB5C2F" w:rsidRDefault="00BB5C2F" w:rsidP="00BB5C2F">
            <w:pPr>
              <w:spacing w:after="0" w:line="240" w:lineRule="auto"/>
              <w:rPr>
                <w:rFonts w:ascii="Calibri" w:eastAsia="Times New Roman" w:hAnsi="Calibri" w:cs="Calibri"/>
                <w:color w:val="000000"/>
              </w:rPr>
            </w:pPr>
            <w:r w:rsidRPr="00BB5C2F">
              <w:rPr>
                <w:rFonts w:ascii="Calibri" w:eastAsia="Times New Roman" w:hAnsi="Calibri" w:cs="Calibri"/>
                <w:color w:val="000000"/>
              </w:rPr>
              <w:t>** base year revenue * [(1 + 4.1%) ^( 18/12)]</w:t>
            </w:r>
          </w:p>
          <w:p w14:paraId="275B9905" w14:textId="77777777" w:rsidR="002C04F2" w:rsidRDefault="002C04F2" w:rsidP="00BB5C2F">
            <w:pPr>
              <w:spacing w:after="0" w:line="240" w:lineRule="auto"/>
              <w:rPr>
                <w:rFonts w:ascii="Calibri" w:eastAsia="Times New Roman" w:hAnsi="Calibri" w:cs="Calibri"/>
                <w:color w:val="000000"/>
              </w:rPr>
            </w:pPr>
          </w:p>
          <w:p w14:paraId="1D084253" w14:textId="77777777" w:rsidR="002C04F2" w:rsidRPr="006A0626" w:rsidRDefault="002C04F2" w:rsidP="00BB5C2F">
            <w:pPr>
              <w:spacing w:after="0" w:line="240" w:lineRule="auto"/>
              <w:rPr>
                <w:rFonts w:ascii="Calibri" w:eastAsia="Times New Roman" w:hAnsi="Calibri" w:cs="Calibri"/>
                <w:i/>
                <w:iCs/>
                <w:color w:val="000000"/>
              </w:rPr>
            </w:pPr>
            <w:r w:rsidRPr="006A0626">
              <w:rPr>
                <w:rFonts w:ascii="Calibri" w:eastAsia="Times New Roman" w:hAnsi="Calibri" w:cs="Calibri"/>
                <w:i/>
                <w:iCs/>
                <w:color w:val="000000"/>
              </w:rPr>
              <w:t>Minnesota Management and Budget</w:t>
            </w:r>
          </w:p>
          <w:p w14:paraId="07BF79E5" w14:textId="36E39CF8" w:rsidR="002C04F2" w:rsidRPr="00BB5C2F" w:rsidRDefault="002C04F2" w:rsidP="00BB5C2F">
            <w:pPr>
              <w:spacing w:after="0" w:line="240" w:lineRule="auto"/>
              <w:rPr>
                <w:rFonts w:ascii="Calibri" w:eastAsia="Times New Roman" w:hAnsi="Calibri" w:cs="Calibri"/>
                <w:color w:val="000000"/>
              </w:rPr>
            </w:pPr>
            <w:r w:rsidRPr="006A0626">
              <w:rPr>
                <w:rFonts w:ascii="Calibri" w:eastAsia="Times New Roman" w:hAnsi="Calibri" w:cs="Calibri"/>
                <w:i/>
                <w:iCs/>
                <w:color w:val="000000"/>
              </w:rPr>
              <w:t>December 2021</w:t>
            </w:r>
          </w:p>
        </w:tc>
        <w:tc>
          <w:tcPr>
            <w:tcW w:w="2340" w:type="dxa"/>
            <w:gridSpan w:val="2"/>
            <w:tcBorders>
              <w:top w:val="nil"/>
              <w:left w:val="nil"/>
              <w:bottom w:val="nil"/>
              <w:right w:val="nil"/>
            </w:tcBorders>
            <w:shd w:val="clear" w:color="auto" w:fill="auto"/>
            <w:noWrap/>
            <w:vAlign w:val="bottom"/>
            <w:hideMark/>
          </w:tcPr>
          <w:p w14:paraId="57B3F88B" w14:textId="77777777" w:rsidR="00BB5C2F" w:rsidRPr="00BB5C2F" w:rsidRDefault="00BB5C2F" w:rsidP="00BB5C2F">
            <w:pPr>
              <w:spacing w:after="0" w:line="240" w:lineRule="auto"/>
              <w:rPr>
                <w:rFonts w:ascii="Calibri" w:eastAsia="Times New Roman" w:hAnsi="Calibri" w:cs="Calibri"/>
                <w:color w:val="000000"/>
              </w:rPr>
            </w:pPr>
          </w:p>
        </w:tc>
      </w:tr>
      <w:tr w:rsidR="009326C5" w:rsidRPr="009326C5" w14:paraId="44B8FF6A"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7FC09200" w14:textId="427D9798" w:rsidR="009326C5" w:rsidRPr="009326C5" w:rsidRDefault="006A0626" w:rsidP="009326C5">
            <w:pPr>
              <w:spacing w:after="0" w:line="240" w:lineRule="auto"/>
              <w:rPr>
                <w:rFonts w:ascii="Calibri" w:eastAsia="Times New Roman" w:hAnsi="Calibri" w:cs="Calibri"/>
                <w:b/>
                <w:bCs/>
                <w:color w:val="000000"/>
              </w:rPr>
            </w:pPr>
            <w:r>
              <w:rPr>
                <w:rFonts w:ascii="Calibri" w:eastAsia="Times New Roman" w:hAnsi="Calibri" w:cs="Calibri"/>
                <w:b/>
                <w:bCs/>
                <w:color w:val="000000"/>
              </w:rPr>
              <w:br/>
            </w:r>
            <w:r w:rsidR="009326C5" w:rsidRPr="009326C5">
              <w:rPr>
                <w:rFonts w:ascii="Calibri" w:eastAsia="Times New Roman" w:hAnsi="Calibri" w:cs="Calibri"/>
                <w:b/>
                <w:bCs/>
                <w:color w:val="000000"/>
              </w:rPr>
              <w:t xml:space="preserve">State </w:t>
            </w:r>
            <w:r>
              <w:rPr>
                <w:rFonts w:ascii="Calibri" w:eastAsia="Times New Roman" w:hAnsi="Calibri" w:cs="Calibri"/>
                <w:b/>
                <w:bCs/>
                <w:color w:val="000000"/>
              </w:rPr>
              <w:t>o</w:t>
            </w:r>
            <w:r w:rsidR="009326C5" w:rsidRPr="009326C5">
              <w:rPr>
                <w:rFonts w:ascii="Calibri" w:eastAsia="Times New Roman" w:hAnsi="Calibri" w:cs="Calibri"/>
                <w:b/>
                <w:bCs/>
                <w:color w:val="000000"/>
              </w:rPr>
              <w:t>f Minnesota COVID Res</w:t>
            </w:r>
            <w:r w:rsidR="009326C5">
              <w:rPr>
                <w:rFonts w:ascii="Calibri" w:eastAsia="Times New Roman" w:hAnsi="Calibri" w:cs="Calibri"/>
                <w:b/>
                <w:bCs/>
                <w:color w:val="000000"/>
              </w:rPr>
              <w:t>p</w:t>
            </w:r>
            <w:r w:rsidR="009326C5" w:rsidRPr="009326C5">
              <w:rPr>
                <w:rFonts w:ascii="Calibri" w:eastAsia="Times New Roman" w:hAnsi="Calibri" w:cs="Calibri"/>
                <w:b/>
                <w:bCs/>
                <w:color w:val="000000"/>
              </w:rPr>
              <w:t>onse</w:t>
            </w:r>
          </w:p>
        </w:tc>
        <w:tc>
          <w:tcPr>
            <w:tcW w:w="1641" w:type="dxa"/>
            <w:gridSpan w:val="2"/>
            <w:tcBorders>
              <w:top w:val="nil"/>
              <w:left w:val="nil"/>
              <w:bottom w:val="nil"/>
              <w:right w:val="nil"/>
            </w:tcBorders>
            <w:shd w:val="clear" w:color="auto" w:fill="auto"/>
            <w:noWrap/>
            <w:vAlign w:val="bottom"/>
            <w:hideMark/>
          </w:tcPr>
          <w:p w14:paraId="19AE09C1" w14:textId="77777777" w:rsidR="009326C5" w:rsidRPr="009326C5" w:rsidRDefault="009326C5" w:rsidP="009326C5">
            <w:pPr>
              <w:spacing w:after="0" w:line="240" w:lineRule="auto"/>
              <w:rPr>
                <w:rFonts w:ascii="Calibri" w:eastAsia="Times New Roman" w:hAnsi="Calibri" w:cs="Calibri"/>
                <w:b/>
                <w:bCs/>
                <w:color w:val="000000"/>
              </w:rPr>
            </w:pPr>
          </w:p>
        </w:tc>
      </w:tr>
      <w:tr w:rsidR="009326C5" w:rsidRPr="009326C5" w14:paraId="398CD324"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082B583B" w14:textId="77777777" w:rsidR="009326C5" w:rsidRPr="009326C5" w:rsidRDefault="009326C5" w:rsidP="009326C5">
            <w:pPr>
              <w:spacing w:after="0" w:line="240" w:lineRule="auto"/>
              <w:rPr>
                <w:rFonts w:ascii="Calibri" w:eastAsia="Times New Roman" w:hAnsi="Calibri" w:cs="Calibri"/>
                <w:i/>
                <w:iCs/>
                <w:color w:val="000000"/>
              </w:rPr>
            </w:pPr>
            <w:r w:rsidRPr="009326C5">
              <w:rPr>
                <w:rFonts w:ascii="Calibri" w:eastAsia="Times New Roman" w:hAnsi="Calibri" w:cs="Calibri"/>
                <w:i/>
                <w:iCs/>
                <w:color w:val="000000"/>
              </w:rPr>
              <w:t>General Fund Commitment</w:t>
            </w:r>
          </w:p>
        </w:tc>
        <w:tc>
          <w:tcPr>
            <w:tcW w:w="1641" w:type="dxa"/>
            <w:gridSpan w:val="2"/>
            <w:tcBorders>
              <w:top w:val="nil"/>
              <w:left w:val="nil"/>
              <w:bottom w:val="nil"/>
              <w:right w:val="nil"/>
            </w:tcBorders>
            <w:shd w:val="clear" w:color="auto" w:fill="auto"/>
            <w:noWrap/>
            <w:vAlign w:val="bottom"/>
            <w:hideMark/>
          </w:tcPr>
          <w:p w14:paraId="01E4974B" w14:textId="77777777" w:rsidR="009326C5" w:rsidRPr="009326C5" w:rsidRDefault="009326C5" w:rsidP="009326C5">
            <w:pPr>
              <w:spacing w:after="0" w:line="240" w:lineRule="auto"/>
              <w:rPr>
                <w:rFonts w:ascii="Calibri" w:eastAsia="Times New Roman" w:hAnsi="Calibri" w:cs="Calibri"/>
                <w:i/>
                <w:iCs/>
                <w:color w:val="000000"/>
              </w:rPr>
            </w:pPr>
          </w:p>
        </w:tc>
      </w:tr>
      <w:tr w:rsidR="009326C5" w:rsidRPr="009326C5" w14:paraId="54863A95" w14:textId="77777777" w:rsidTr="006A0626">
        <w:trPr>
          <w:trHeight w:val="59"/>
        </w:trPr>
        <w:tc>
          <w:tcPr>
            <w:tcW w:w="7625" w:type="dxa"/>
            <w:gridSpan w:val="2"/>
            <w:tcBorders>
              <w:top w:val="nil"/>
              <w:left w:val="nil"/>
              <w:bottom w:val="nil"/>
              <w:right w:val="nil"/>
            </w:tcBorders>
            <w:shd w:val="clear" w:color="auto" w:fill="auto"/>
            <w:noWrap/>
            <w:vAlign w:val="bottom"/>
            <w:hideMark/>
          </w:tcPr>
          <w:p w14:paraId="6A8CDD13" w14:textId="77777777" w:rsidR="009326C5" w:rsidRPr="009326C5" w:rsidRDefault="009326C5" w:rsidP="009326C5">
            <w:pPr>
              <w:spacing w:after="0" w:line="240" w:lineRule="auto"/>
              <w:rPr>
                <w:rFonts w:ascii="Times New Roman" w:eastAsia="Times New Roman" w:hAnsi="Times New Roman" w:cs="Times New Roman"/>
                <w:sz w:val="20"/>
                <w:szCs w:val="20"/>
              </w:rPr>
            </w:pPr>
          </w:p>
        </w:tc>
        <w:tc>
          <w:tcPr>
            <w:tcW w:w="1641" w:type="dxa"/>
            <w:gridSpan w:val="2"/>
            <w:tcBorders>
              <w:top w:val="nil"/>
              <w:left w:val="nil"/>
              <w:bottom w:val="nil"/>
              <w:right w:val="nil"/>
            </w:tcBorders>
            <w:shd w:val="clear" w:color="auto" w:fill="auto"/>
            <w:noWrap/>
            <w:vAlign w:val="bottom"/>
            <w:hideMark/>
          </w:tcPr>
          <w:p w14:paraId="390A204F" w14:textId="77777777" w:rsidR="009326C5" w:rsidRPr="009326C5" w:rsidRDefault="009326C5" w:rsidP="009326C5">
            <w:pPr>
              <w:spacing w:after="0" w:line="240" w:lineRule="auto"/>
              <w:rPr>
                <w:rFonts w:ascii="Times New Roman" w:eastAsia="Times New Roman" w:hAnsi="Times New Roman" w:cs="Times New Roman"/>
                <w:sz w:val="20"/>
                <w:szCs w:val="20"/>
              </w:rPr>
            </w:pPr>
          </w:p>
        </w:tc>
      </w:tr>
      <w:tr w:rsidR="009326C5" w:rsidRPr="009326C5" w14:paraId="7F1ED2E2"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3C8255B3" w14:textId="77777777" w:rsidR="009326C5" w:rsidRPr="009326C5" w:rsidRDefault="009326C5" w:rsidP="009326C5">
            <w:pPr>
              <w:spacing w:after="0" w:line="240" w:lineRule="auto"/>
              <w:rPr>
                <w:rFonts w:ascii="Calibri" w:eastAsia="Times New Roman" w:hAnsi="Calibri" w:cs="Calibri"/>
                <w:i/>
                <w:iCs/>
                <w:color w:val="000000"/>
              </w:rPr>
            </w:pPr>
            <w:r w:rsidRPr="009326C5">
              <w:rPr>
                <w:rFonts w:ascii="Calibri" w:eastAsia="Times New Roman" w:hAnsi="Calibri" w:cs="Calibri"/>
                <w:i/>
                <w:iCs/>
                <w:color w:val="000000"/>
              </w:rPr>
              <w:t>$ in thousands</w:t>
            </w:r>
          </w:p>
        </w:tc>
        <w:tc>
          <w:tcPr>
            <w:tcW w:w="1641" w:type="dxa"/>
            <w:gridSpan w:val="2"/>
            <w:tcBorders>
              <w:top w:val="nil"/>
              <w:left w:val="nil"/>
              <w:bottom w:val="nil"/>
              <w:right w:val="nil"/>
            </w:tcBorders>
            <w:shd w:val="clear" w:color="auto" w:fill="auto"/>
            <w:noWrap/>
            <w:vAlign w:val="bottom"/>
            <w:hideMark/>
          </w:tcPr>
          <w:p w14:paraId="6F1E7942" w14:textId="77777777" w:rsidR="009326C5" w:rsidRPr="009326C5" w:rsidRDefault="009326C5" w:rsidP="009326C5">
            <w:pPr>
              <w:spacing w:after="0" w:line="240" w:lineRule="auto"/>
              <w:rPr>
                <w:rFonts w:ascii="Calibri" w:eastAsia="Times New Roman" w:hAnsi="Calibri" w:cs="Calibri"/>
                <w:i/>
                <w:iCs/>
                <w:color w:val="000000"/>
              </w:rPr>
            </w:pPr>
          </w:p>
        </w:tc>
      </w:tr>
      <w:tr w:rsidR="009326C5" w:rsidRPr="009326C5" w14:paraId="6D9C623A" w14:textId="77777777" w:rsidTr="006A0626">
        <w:trPr>
          <w:trHeight w:val="59"/>
        </w:trPr>
        <w:tc>
          <w:tcPr>
            <w:tcW w:w="7625" w:type="dxa"/>
            <w:gridSpan w:val="2"/>
            <w:tcBorders>
              <w:top w:val="nil"/>
              <w:left w:val="nil"/>
              <w:bottom w:val="nil"/>
              <w:right w:val="nil"/>
            </w:tcBorders>
            <w:shd w:val="clear" w:color="auto" w:fill="auto"/>
            <w:noWrap/>
            <w:vAlign w:val="bottom"/>
            <w:hideMark/>
          </w:tcPr>
          <w:p w14:paraId="5C8D1652" w14:textId="77777777" w:rsidR="009326C5" w:rsidRPr="009326C5" w:rsidRDefault="009326C5" w:rsidP="009326C5">
            <w:pPr>
              <w:spacing w:after="0" w:line="240" w:lineRule="auto"/>
              <w:rPr>
                <w:rFonts w:ascii="Times New Roman" w:eastAsia="Times New Roman" w:hAnsi="Times New Roman" w:cs="Times New Roman"/>
                <w:sz w:val="20"/>
                <w:szCs w:val="20"/>
              </w:rPr>
            </w:pPr>
          </w:p>
        </w:tc>
        <w:tc>
          <w:tcPr>
            <w:tcW w:w="1641" w:type="dxa"/>
            <w:gridSpan w:val="2"/>
            <w:tcBorders>
              <w:top w:val="nil"/>
              <w:left w:val="nil"/>
              <w:bottom w:val="nil"/>
              <w:right w:val="nil"/>
            </w:tcBorders>
            <w:shd w:val="clear" w:color="auto" w:fill="auto"/>
            <w:noWrap/>
            <w:vAlign w:val="bottom"/>
            <w:hideMark/>
          </w:tcPr>
          <w:p w14:paraId="2B9E291F" w14:textId="77777777" w:rsidR="009326C5" w:rsidRPr="009326C5" w:rsidRDefault="009326C5" w:rsidP="009326C5">
            <w:pPr>
              <w:spacing w:after="0" w:line="240" w:lineRule="auto"/>
              <w:rPr>
                <w:rFonts w:ascii="Times New Roman" w:eastAsia="Times New Roman" w:hAnsi="Times New Roman" w:cs="Times New Roman"/>
                <w:sz w:val="20"/>
                <w:szCs w:val="20"/>
              </w:rPr>
            </w:pPr>
          </w:p>
        </w:tc>
      </w:tr>
      <w:tr w:rsidR="009326C5" w:rsidRPr="009326C5" w14:paraId="0F6C8AEA"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23712E5A"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COVID-19 MN Fund</w:t>
            </w:r>
          </w:p>
        </w:tc>
        <w:tc>
          <w:tcPr>
            <w:tcW w:w="1641" w:type="dxa"/>
            <w:gridSpan w:val="2"/>
            <w:tcBorders>
              <w:top w:val="nil"/>
              <w:left w:val="nil"/>
              <w:bottom w:val="nil"/>
              <w:right w:val="nil"/>
            </w:tcBorders>
            <w:shd w:val="clear" w:color="auto" w:fill="auto"/>
            <w:noWrap/>
            <w:vAlign w:val="bottom"/>
            <w:hideMark/>
          </w:tcPr>
          <w:p w14:paraId="480C0019"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200,000 </w:t>
            </w:r>
          </w:p>
        </w:tc>
      </w:tr>
      <w:tr w:rsidR="009326C5" w:rsidRPr="009326C5" w14:paraId="2C8A024B"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5219DF97"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Peacetime Emergency Child Care Grants</w:t>
            </w:r>
          </w:p>
        </w:tc>
        <w:tc>
          <w:tcPr>
            <w:tcW w:w="1641" w:type="dxa"/>
            <w:gridSpan w:val="2"/>
            <w:tcBorders>
              <w:top w:val="nil"/>
              <w:left w:val="nil"/>
              <w:bottom w:val="nil"/>
              <w:right w:val="nil"/>
            </w:tcBorders>
            <w:shd w:val="clear" w:color="auto" w:fill="auto"/>
            <w:noWrap/>
            <w:vAlign w:val="bottom"/>
            <w:hideMark/>
          </w:tcPr>
          <w:p w14:paraId="45A3809E"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29,964 </w:t>
            </w:r>
          </w:p>
        </w:tc>
      </w:tr>
      <w:tr w:rsidR="009326C5" w:rsidRPr="009326C5" w14:paraId="04215A6A"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4586C95E"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Military Veterans COVID-19 Response Assistance</w:t>
            </w:r>
          </w:p>
        </w:tc>
        <w:tc>
          <w:tcPr>
            <w:tcW w:w="1641" w:type="dxa"/>
            <w:gridSpan w:val="2"/>
            <w:tcBorders>
              <w:top w:val="nil"/>
              <w:left w:val="nil"/>
              <w:bottom w:val="nil"/>
              <w:right w:val="nil"/>
            </w:tcBorders>
            <w:shd w:val="clear" w:color="auto" w:fill="auto"/>
            <w:noWrap/>
            <w:vAlign w:val="bottom"/>
            <w:hideMark/>
          </w:tcPr>
          <w:p w14:paraId="5EE7F7FC"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6,200 </w:t>
            </w:r>
          </w:p>
        </w:tc>
      </w:tr>
      <w:tr w:rsidR="009326C5" w:rsidRPr="009326C5" w14:paraId="4E86C302"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0E963C26"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Emergency Food Shelf Response</w:t>
            </w:r>
          </w:p>
        </w:tc>
        <w:tc>
          <w:tcPr>
            <w:tcW w:w="1641" w:type="dxa"/>
            <w:gridSpan w:val="2"/>
            <w:tcBorders>
              <w:top w:val="nil"/>
              <w:left w:val="nil"/>
              <w:bottom w:val="nil"/>
              <w:right w:val="nil"/>
            </w:tcBorders>
            <w:shd w:val="clear" w:color="auto" w:fill="auto"/>
            <w:noWrap/>
            <w:vAlign w:val="bottom"/>
            <w:hideMark/>
          </w:tcPr>
          <w:p w14:paraId="348E34A7"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9,000 </w:t>
            </w:r>
          </w:p>
        </w:tc>
      </w:tr>
      <w:tr w:rsidR="009326C5" w:rsidRPr="009326C5" w14:paraId="75845E15"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22F4037D"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Housing Support</w:t>
            </w:r>
          </w:p>
        </w:tc>
        <w:tc>
          <w:tcPr>
            <w:tcW w:w="1641" w:type="dxa"/>
            <w:gridSpan w:val="2"/>
            <w:tcBorders>
              <w:top w:val="nil"/>
              <w:left w:val="nil"/>
              <w:bottom w:val="nil"/>
              <w:right w:val="nil"/>
            </w:tcBorders>
            <w:shd w:val="clear" w:color="auto" w:fill="auto"/>
            <w:noWrap/>
            <w:vAlign w:val="bottom"/>
            <w:hideMark/>
          </w:tcPr>
          <w:p w14:paraId="06368B22"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5,530 </w:t>
            </w:r>
          </w:p>
        </w:tc>
      </w:tr>
      <w:tr w:rsidR="009326C5" w:rsidRPr="009326C5" w14:paraId="6893B5CC"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721A3773"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Emergency Services Grants - Shelter, PPE, Supplies, &amp; Staffing</w:t>
            </w:r>
          </w:p>
        </w:tc>
        <w:tc>
          <w:tcPr>
            <w:tcW w:w="1641" w:type="dxa"/>
            <w:gridSpan w:val="2"/>
            <w:tcBorders>
              <w:top w:val="nil"/>
              <w:left w:val="nil"/>
              <w:bottom w:val="nil"/>
              <w:right w:val="nil"/>
            </w:tcBorders>
            <w:shd w:val="clear" w:color="auto" w:fill="auto"/>
            <w:noWrap/>
            <w:vAlign w:val="bottom"/>
            <w:hideMark/>
          </w:tcPr>
          <w:p w14:paraId="72CE1F4D"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26,537 </w:t>
            </w:r>
          </w:p>
        </w:tc>
      </w:tr>
      <w:tr w:rsidR="009326C5" w:rsidRPr="009326C5" w14:paraId="7AB7101A"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05B23173"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Tribal Nations Staffing</w:t>
            </w:r>
          </w:p>
        </w:tc>
        <w:tc>
          <w:tcPr>
            <w:tcW w:w="1641" w:type="dxa"/>
            <w:gridSpan w:val="2"/>
            <w:tcBorders>
              <w:top w:val="nil"/>
              <w:left w:val="nil"/>
              <w:bottom w:val="nil"/>
              <w:right w:val="nil"/>
            </w:tcBorders>
            <w:shd w:val="clear" w:color="auto" w:fill="auto"/>
            <w:noWrap/>
            <w:vAlign w:val="bottom"/>
            <w:hideMark/>
          </w:tcPr>
          <w:p w14:paraId="201FB031"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11,000 </w:t>
            </w:r>
          </w:p>
        </w:tc>
      </w:tr>
      <w:tr w:rsidR="009326C5" w:rsidRPr="009326C5" w14:paraId="3473B45B"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5BF1C083"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Business Relief Payments</w:t>
            </w:r>
          </w:p>
        </w:tc>
        <w:tc>
          <w:tcPr>
            <w:tcW w:w="1641" w:type="dxa"/>
            <w:gridSpan w:val="2"/>
            <w:tcBorders>
              <w:top w:val="nil"/>
              <w:left w:val="nil"/>
              <w:bottom w:val="nil"/>
              <w:right w:val="nil"/>
            </w:tcBorders>
            <w:shd w:val="clear" w:color="auto" w:fill="auto"/>
            <w:noWrap/>
            <w:vAlign w:val="bottom"/>
            <w:hideMark/>
          </w:tcPr>
          <w:p w14:paraId="64734039"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87,750 </w:t>
            </w:r>
          </w:p>
        </w:tc>
      </w:tr>
      <w:tr w:rsidR="009326C5" w:rsidRPr="009326C5" w14:paraId="1C46ED1F"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55DAE53E"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Unemployment Trust Fund</w:t>
            </w:r>
          </w:p>
        </w:tc>
        <w:tc>
          <w:tcPr>
            <w:tcW w:w="1641" w:type="dxa"/>
            <w:gridSpan w:val="2"/>
            <w:tcBorders>
              <w:top w:val="nil"/>
              <w:left w:val="nil"/>
              <w:bottom w:val="nil"/>
              <w:right w:val="nil"/>
            </w:tcBorders>
            <w:shd w:val="clear" w:color="auto" w:fill="auto"/>
            <w:noWrap/>
            <w:vAlign w:val="bottom"/>
            <w:hideMark/>
          </w:tcPr>
          <w:p w14:paraId="499961BA"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25,000 </w:t>
            </w:r>
          </w:p>
        </w:tc>
      </w:tr>
      <w:tr w:rsidR="009326C5" w:rsidRPr="009326C5" w14:paraId="3FA63A82"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68037BDA"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Movie Theater and Convention Center Grants</w:t>
            </w:r>
          </w:p>
        </w:tc>
        <w:tc>
          <w:tcPr>
            <w:tcW w:w="1641" w:type="dxa"/>
            <w:gridSpan w:val="2"/>
            <w:tcBorders>
              <w:top w:val="nil"/>
              <w:left w:val="nil"/>
              <w:bottom w:val="nil"/>
              <w:right w:val="nil"/>
            </w:tcBorders>
            <w:shd w:val="clear" w:color="auto" w:fill="auto"/>
            <w:noWrap/>
            <w:vAlign w:val="bottom"/>
            <w:hideMark/>
          </w:tcPr>
          <w:p w14:paraId="68B33FDF"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13,900 </w:t>
            </w:r>
          </w:p>
        </w:tc>
      </w:tr>
      <w:tr w:rsidR="009326C5" w:rsidRPr="009326C5" w14:paraId="29765559"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671F67AA"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County Relief Grants</w:t>
            </w:r>
          </w:p>
        </w:tc>
        <w:tc>
          <w:tcPr>
            <w:tcW w:w="1641" w:type="dxa"/>
            <w:gridSpan w:val="2"/>
            <w:tcBorders>
              <w:top w:val="nil"/>
              <w:left w:val="nil"/>
              <w:bottom w:val="nil"/>
              <w:right w:val="nil"/>
            </w:tcBorders>
            <w:shd w:val="clear" w:color="auto" w:fill="auto"/>
            <w:noWrap/>
            <w:vAlign w:val="bottom"/>
            <w:hideMark/>
          </w:tcPr>
          <w:p w14:paraId="3AD8C7D0"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114,728 </w:t>
            </w:r>
          </w:p>
        </w:tc>
      </w:tr>
      <w:tr w:rsidR="009326C5" w:rsidRPr="009326C5" w14:paraId="06DEF300"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3BB5088E"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Health Care Response Fund - Provider Grants</w:t>
            </w:r>
          </w:p>
        </w:tc>
        <w:tc>
          <w:tcPr>
            <w:tcW w:w="1641" w:type="dxa"/>
            <w:gridSpan w:val="2"/>
            <w:tcBorders>
              <w:top w:val="nil"/>
              <w:left w:val="nil"/>
              <w:bottom w:val="nil"/>
              <w:right w:val="nil"/>
            </w:tcBorders>
            <w:shd w:val="clear" w:color="auto" w:fill="auto"/>
            <w:noWrap/>
            <w:vAlign w:val="bottom"/>
            <w:hideMark/>
          </w:tcPr>
          <w:p w14:paraId="2B160588"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150,000 </w:t>
            </w:r>
          </w:p>
        </w:tc>
      </w:tr>
      <w:tr w:rsidR="009326C5" w:rsidRPr="009326C5" w14:paraId="6E911C7F"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321CEA24"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Public Health Contingency Account (SR)- Provider Grants</w:t>
            </w:r>
          </w:p>
        </w:tc>
        <w:tc>
          <w:tcPr>
            <w:tcW w:w="1641" w:type="dxa"/>
            <w:gridSpan w:val="2"/>
            <w:tcBorders>
              <w:top w:val="nil"/>
              <w:left w:val="nil"/>
              <w:bottom w:val="nil"/>
              <w:right w:val="nil"/>
            </w:tcBorders>
            <w:shd w:val="clear" w:color="auto" w:fill="auto"/>
            <w:noWrap/>
            <w:vAlign w:val="bottom"/>
            <w:hideMark/>
          </w:tcPr>
          <w:p w14:paraId="1A4F4830" w14:textId="77777777"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50,000 </w:t>
            </w:r>
          </w:p>
        </w:tc>
      </w:tr>
      <w:tr w:rsidR="009326C5" w:rsidRPr="009326C5" w14:paraId="1BFE3617"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4FFF23C7" w14:textId="77777777" w:rsidR="009326C5" w:rsidRPr="009326C5" w:rsidRDefault="009326C5" w:rsidP="009326C5">
            <w:pPr>
              <w:spacing w:after="0" w:line="240" w:lineRule="auto"/>
              <w:rPr>
                <w:rFonts w:ascii="Calibri" w:eastAsia="Times New Roman" w:hAnsi="Calibri" w:cs="Calibri"/>
                <w:color w:val="000000"/>
              </w:rPr>
            </w:pPr>
            <w:r w:rsidRPr="009326C5">
              <w:rPr>
                <w:rFonts w:ascii="Calibri" w:eastAsia="Times New Roman" w:hAnsi="Calibri" w:cs="Calibri"/>
                <w:color w:val="000000"/>
              </w:rPr>
              <w:t>Public Health Contingency Account (SR)- Staffing and Local Public Health</w:t>
            </w:r>
          </w:p>
        </w:tc>
        <w:tc>
          <w:tcPr>
            <w:tcW w:w="1641" w:type="dxa"/>
            <w:gridSpan w:val="2"/>
            <w:tcBorders>
              <w:top w:val="nil"/>
              <w:left w:val="nil"/>
              <w:bottom w:val="nil"/>
              <w:right w:val="nil"/>
            </w:tcBorders>
            <w:shd w:val="clear" w:color="auto" w:fill="auto"/>
            <w:noWrap/>
            <w:vAlign w:val="bottom"/>
            <w:hideMark/>
          </w:tcPr>
          <w:p w14:paraId="0A0C7C03" w14:textId="588087E8" w:rsidR="009326C5" w:rsidRPr="009326C5" w:rsidRDefault="009326C5" w:rsidP="006A0626">
            <w:pPr>
              <w:spacing w:after="0" w:line="240" w:lineRule="auto"/>
              <w:jc w:val="right"/>
              <w:rPr>
                <w:rFonts w:ascii="Calibri" w:eastAsia="Times New Roman" w:hAnsi="Calibri" w:cs="Calibri"/>
                <w:color w:val="000000"/>
              </w:rPr>
            </w:pPr>
            <w:r w:rsidRPr="009326C5">
              <w:rPr>
                <w:rFonts w:ascii="Calibri" w:eastAsia="Times New Roman" w:hAnsi="Calibri" w:cs="Calibri"/>
                <w:color w:val="000000"/>
              </w:rPr>
              <w:t xml:space="preserve">     </w:t>
            </w:r>
            <w:r w:rsidR="006A0626">
              <w:rPr>
                <w:rFonts w:ascii="Calibri" w:eastAsia="Times New Roman" w:hAnsi="Calibri" w:cs="Calibri"/>
                <w:color w:val="000000"/>
              </w:rPr>
              <w:t xml:space="preserve"> </w:t>
            </w:r>
            <w:r w:rsidRPr="009326C5">
              <w:rPr>
                <w:rFonts w:ascii="Calibri" w:eastAsia="Times New Roman" w:hAnsi="Calibri" w:cs="Calibri"/>
                <w:color w:val="000000"/>
              </w:rPr>
              <w:t>25,51</w:t>
            </w:r>
            <w:r w:rsidR="006A0626">
              <w:rPr>
                <w:rFonts w:ascii="Calibri" w:eastAsia="Times New Roman" w:hAnsi="Calibri" w:cs="Calibri"/>
                <w:color w:val="000000"/>
              </w:rPr>
              <w:t>1</w:t>
            </w:r>
          </w:p>
        </w:tc>
      </w:tr>
      <w:tr w:rsidR="009326C5" w:rsidRPr="009326C5" w14:paraId="0E2B39F8" w14:textId="77777777" w:rsidTr="006A0626">
        <w:trPr>
          <w:trHeight w:val="59"/>
        </w:trPr>
        <w:tc>
          <w:tcPr>
            <w:tcW w:w="7625" w:type="dxa"/>
            <w:gridSpan w:val="2"/>
            <w:tcBorders>
              <w:top w:val="nil"/>
              <w:left w:val="nil"/>
              <w:bottom w:val="nil"/>
              <w:right w:val="nil"/>
            </w:tcBorders>
            <w:shd w:val="clear" w:color="auto" w:fill="auto"/>
            <w:noWrap/>
            <w:vAlign w:val="bottom"/>
            <w:hideMark/>
          </w:tcPr>
          <w:p w14:paraId="026DD046" w14:textId="77777777" w:rsidR="009326C5" w:rsidRPr="009326C5" w:rsidRDefault="009326C5" w:rsidP="009326C5">
            <w:pPr>
              <w:spacing w:after="0" w:line="240" w:lineRule="auto"/>
              <w:rPr>
                <w:rFonts w:ascii="Calibri" w:eastAsia="Times New Roman" w:hAnsi="Calibri" w:cs="Calibri"/>
                <w:color w:val="000000"/>
              </w:rPr>
            </w:pPr>
          </w:p>
        </w:tc>
        <w:tc>
          <w:tcPr>
            <w:tcW w:w="1641" w:type="dxa"/>
            <w:gridSpan w:val="2"/>
            <w:tcBorders>
              <w:top w:val="nil"/>
              <w:left w:val="nil"/>
              <w:bottom w:val="nil"/>
              <w:right w:val="nil"/>
            </w:tcBorders>
            <w:shd w:val="clear" w:color="auto" w:fill="auto"/>
            <w:noWrap/>
            <w:vAlign w:val="bottom"/>
            <w:hideMark/>
          </w:tcPr>
          <w:p w14:paraId="49DBBE95" w14:textId="77777777" w:rsidR="009326C5" w:rsidRPr="009326C5" w:rsidRDefault="009326C5" w:rsidP="006A0626">
            <w:pPr>
              <w:spacing w:after="0" w:line="240" w:lineRule="auto"/>
              <w:jc w:val="right"/>
              <w:rPr>
                <w:rFonts w:ascii="Times New Roman" w:eastAsia="Times New Roman" w:hAnsi="Times New Roman" w:cs="Times New Roman"/>
                <w:sz w:val="20"/>
                <w:szCs w:val="20"/>
              </w:rPr>
            </w:pPr>
          </w:p>
        </w:tc>
      </w:tr>
      <w:tr w:rsidR="009326C5" w:rsidRPr="009326C5" w14:paraId="19510C1A"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2B5B8F6D" w14:textId="77777777" w:rsidR="009326C5" w:rsidRPr="009326C5" w:rsidRDefault="009326C5" w:rsidP="009326C5">
            <w:pPr>
              <w:spacing w:after="0" w:line="240" w:lineRule="auto"/>
              <w:rPr>
                <w:rFonts w:ascii="Calibri" w:eastAsia="Times New Roman" w:hAnsi="Calibri" w:cs="Calibri"/>
                <w:b/>
                <w:bCs/>
                <w:color w:val="000000"/>
              </w:rPr>
            </w:pPr>
            <w:r w:rsidRPr="009326C5">
              <w:rPr>
                <w:rFonts w:ascii="Calibri" w:eastAsia="Times New Roman" w:hAnsi="Calibri" w:cs="Calibri"/>
                <w:b/>
                <w:bCs/>
                <w:color w:val="000000"/>
              </w:rPr>
              <w:t>Total General Fund Investment</w:t>
            </w:r>
          </w:p>
        </w:tc>
        <w:tc>
          <w:tcPr>
            <w:tcW w:w="1641" w:type="dxa"/>
            <w:gridSpan w:val="2"/>
            <w:tcBorders>
              <w:top w:val="nil"/>
              <w:left w:val="nil"/>
              <w:bottom w:val="nil"/>
              <w:right w:val="nil"/>
            </w:tcBorders>
            <w:shd w:val="clear" w:color="auto" w:fill="auto"/>
            <w:noWrap/>
            <w:vAlign w:val="bottom"/>
            <w:hideMark/>
          </w:tcPr>
          <w:p w14:paraId="729A0224" w14:textId="77777777" w:rsidR="009326C5" w:rsidRPr="009326C5" w:rsidRDefault="009326C5" w:rsidP="006A0626">
            <w:pPr>
              <w:spacing w:after="0" w:line="240" w:lineRule="auto"/>
              <w:jc w:val="right"/>
              <w:rPr>
                <w:rFonts w:ascii="Calibri" w:eastAsia="Times New Roman" w:hAnsi="Calibri" w:cs="Calibri"/>
                <w:b/>
                <w:bCs/>
                <w:color w:val="000000"/>
              </w:rPr>
            </w:pPr>
            <w:r w:rsidRPr="009326C5">
              <w:rPr>
                <w:rFonts w:ascii="Calibri" w:eastAsia="Times New Roman" w:hAnsi="Calibri" w:cs="Calibri"/>
                <w:b/>
                <w:bCs/>
                <w:color w:val="000000"/>
              </w:rPr>
              <w:t xml:space="preserve">   755,120 </w:t>
            </w:r>
          </w:p>
        </w:tc>
      </w:tr>
      <w:tr w:rsidR="009326C5" w:rsidRPr="009326C5" w14:paraId="7F814DFC"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554A0002" w14:textId="77777777" w:rsidR="009326C5" w:rsidRPr="009326C5" w:rsidRDefault="009326C5" w:rsidP="009326C5">
            <w:pPr>
              <w:spacing w:after="0" w:line="240" w:lineRule="auto"/>
              <w:rPr>
                <w:rFonts w:ascii="Calibri" w:eastAsia="Times New Roman" w:hAnsi="Calibri" w:cs="Calibri"/>
                <w:b/>
                <w:bCs/>
                <w:color w:val="000000"/>
              </w:rPr>
            </w:pPr>
          </w:p>
        </w:tc>
        <w:tc>
          <w:tcPr>
            <w:tcW w:w="1641" w:type="dxa"/>
            <w:gridSpan w:val="2"/>
            <w:tcBorders>
              <w:top w:val="nil"/>
              <w:left w:val="nil"/>
              <w:bottom w:val="nil"/>
              <w:right w:val="nil"/>
            </w:tcBorders>
            <w:shd w:val="clear" w:color="auto" w:fill="auto"/>
            <w:noWrap/>
            <w:vAlign w:val="bottom"/>
            <w:hideMark/>
          </w:tcPr>
          <w:p w14:paraId="12EF4045" w14:textId="77777777" w:rsidR="009326C5" w:rsidRPr="009326C5" w:rsidRDefault="009326C5" w:rsidP="009326C5">
            <w:pPr>
              <w:spacing w:after="0" w:line="240" w:lineRule="auto"/>
              <w:rPr>
                <w:rFonts w:ascii="Times New Roman" w:eastAsia="Times New Roman" w:hAnsi="Times New Roman" w:cs="Times New Roman"/>
                <w:sz w:val="20"/>
                <w:szCs w:val="20"/>
              </w:rPr>
            </w:pPr>
          </w:p>
        </w:tc>
      </w:tr>
      <w:tr w:rsidR="009326C5" w:rsidRPr="009326C5" w14:paraId="6237B1A4" w14:textId="77777777" w:rsidTr="006A0626">
        <w:trPr>
          <w:trHeight w:val="59"/>
        </w:trPr>
        <w:tc>
          <w:tcPr>
            <w:tcW w:w="7625" w:type="dxa"/>
            <w:gridSpan w:val="2"/>
            <w:tcBorders>
              <w:top w:val="nil"/>
              <w:left w:val="nil"/>
              <w:bottom w:val="nil"/>
              <w:right w:val="nil"/>
            </w:tcBorders>
            <w:shd w:val="clear" w:color="auto" w:fill="auto"/>
            <w:noWrap/>
            <w:vAlign w:val="bottom"/>
            <w:hideMark/>
          </w:tcPr>
          <w:p w14:paraId="1E99C239" w14:textId="77777777" w:rsidR="009326C5" w:rsidRPr="009326C5" w:rsidRDefault="009326C5" w:rsidP="009326C5">
            <w:pPr>
              <w:spacing w:after="0" w:line="240" w:lineRule="auto"/>
              <w:rPr>
                <w:rFonts w:ascii="Times New Roman" w:eastAsia="Times New Roman" w:hAnsi="Times New Roman" w:cs="Times New Roman"/>
                <w:sz w:val="20"/>
                <w:szCs w:val="20"/>
              </w:rPr>
            </w:pPr>
          </w:p>
        </w:tc>
        <w:tc>
          <w:tcPr>
            <w:tcW w:w="1641" w:type="dxa"/>
            <w:gridSpan w:val="2"/>
            <w:tcBorders>
              <w:top w:val="nil"/>
              <w:left w:val="nil"/>
              <w:bottom w:val="nil"/>
              <w:right w:val="nil"/>
            </w:tcBorders>
            <w:shd w:val="clear" w:color="auto" w:fill="auto"/>
            <w:noWrap/>
            <w:vAlign w:val="bottom"/>
            <w:hideMark/>
          </w:tcPr>
          <w:p w14:paraId="0BBCB9FC" w14:textId="77777777" w:rsidR="009326C5" w:rsidRPr="009326C5" w:rsidRDefault="009326C5" w:rsidP="009326C5">
            <w:pPr>
              <w:spacing w:after="0" w:line="240" w:lineRule="auto"/>
              <w:rPr>
                <w:rFonts w:ascii="Times New Roman" w:eastAsia="Times New Roman" w:hAnsi="Times New Roman" w:cs="Times New Roman"/>
                <w:sz w:val="20"/>
                <w:szCs w:val="20"/>
              </w:rPr>
            </w:pPr>
          </w:p>
        </w:tc>
      </w:tr>
      <w:tr w:rsidR="009326C5" w:rsidRPr="009326C5" w14:paraId="47F5C6ED"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0DA6CA28" w14:textId="3D6815E5" w:rsidR="009326C5" w:rsidRPr="009326C5" w:rsidRDefault="009326C5" w:rsidP="009326C5">
            <w:pPr>
              <w:spacing w:after="0" w:line="240" w:lineRule="auto"/>
              <w:rPr>
                <w:rFonts w:ascii="Calibri" w:eastAsia="Times New Roman" w:hAnsi="Calibri" w:cs="Calibri"/>
                <w:i/>
                <w:iCs/>
                <w:color w:val="000000"/>
              </w:rPr>
            </w:pPr>
            <w:r w:rsidRPr="009326C5">
              <w:rPr>
                <w:rFonts w:ascii="Calibri" w:eastAsia="Times New Roman" w:hAnsi="Calibri" w:cs="Calibri"/>
                <w:i/>
                <w:iCs/>
                <w:color w:val="000000"/>
              </w:rPr>
              <w:t xml:space="preserve">Minnesota </w:t>
            </w:r>
            <w:r w:rsidR="00457958" w:rsidRPr="009326C5">
              <w:rPr>
                <w:rFonts w:ascii="Calibri" w:eastAsia="Times New Roman" w:hAnsi="Calibri" w:cs="Calibri"/>
                <w:i/>
                <w:iCs/>
                <w:color w:val="000000"/>
              </w:rPr>
              <w:t>Management</w:t>
            </w:r>
            <w:r w:rsidRPr="009326C5">
              <w:rPr>
                <w:rFonts w:ascii="Calibri" w:eastAsia="Times New Roman" w:hAnsi="Calibri" w:cs="Calibri"/>
                <w:i/>
                <w:iCs/>
                <w:color w:val="000000"/>
              </w:rPr>
              <w:t xml:space="preserve"> and Budget</w:t>
            </w:r>
          </w:p>
        </w:tc>
        <w:tc>
          <w:tcPr>
            <w:tcW w:w="1641" w:type="dxa"/>
            <w:gridSpan w:val="2"/>
            <w:tcBorders>
              <w:top w:val="nil"/>
              <w:left w:val="nil"/>
              <w:bottom w:val="nil"/>
              <w:right w:val="nil"/>
            </w:tcBorders>
            <w:shd w:val="clear" w:color="auto" w:fill="auto"/>
            <w:noWrap/>
            <w:vAlign w:val="bottom"/>
            <w:hideMark/>
          </w:tcPr>
          <w:p w14:paraId="52A61162" w14:textId="77777777" w:rsidR="009326C5" w:rsidRPr="009326C5" w:rsidRDefault="009326C5" w:rsidP="009326C5">
            <w:pPr>
              <w:spacing w:after="0" w:line="240" w:lineRule="auto"/>
              <w:rPr>
                <w:rFonts w:ascii="Calibri" w:eastAsia="Times New Roman" w:hAnsi="Calibri" w:cs="Calibri"/>
                <w:i/>
                <w:iCs/>
                <w:color w:val="000000"/>
              </w:rPr>
            </w:pPr>
          </w:p>
        </w:tc>
      </w:tr>
      <w:tr w:rsidR="009326C5" w:rsidRPr="009326C5" w14:paraId="353A006B" w14:textId="77777777" w:rsidTr="006A0626">
        <w:trPr>
          <w:trHeight w:val="270"/>
        </w:trPr>
        <w:tc>
          <w:tcPr>
            <w:tcW w:w="7625" w:type="dxa"/>
            <w:gridSpan w:val="2"/>
            <w:tcBorders>
              <w:top w:val="nil"/>
              <w:left w:val="nil"/>
              <w:bottom w:val="nil"/>
              <w:right w:val="nil"/>
            </w:tcBorders>
            <w:shd w:val="clear" w:color="auto" w:fill="auto"/>
            <w:noWrap/>
            <w:vAlign w:val="bottom"/>
            <w:hideMark/>
          </w:tcPr>
          <w:p w14:paraId="3ADD4246" w14:textId="77777777" w:rsidR="009326C5" w:rsidRPr="009326C5" w:rsidRDefault="009326C5" w:rsidP="009326C5">
            <w:pPr>
              <w:spacing w:after="0" w:line="240" w:lineRule="auto"/>
              <w:rPr>
                <w:rFonts w:ascii="Calibri" w:eastAsia="Times New Roman" w:hAnsi="Calibri" w:cs="Calibri"/>
                <w:i/>
                <w:iCs/>
                <w:color w:val="000000"/>
              </w:rPr>
            </w:pPr>
            <w:r w:rsidRPr="009326C5">
              <w:rPr>
                <w:rFonts w:ascii="Calibri" w:eastAsia="Times New Roman" w:hAnsi="Calibri" w:cs="Calibri"/>
                <w:i/>
                <w:iCs/>
                <w:color w:val="000000"/>
              </w:rPr>
              <w:t>End of 2021 Special Legislative Session</w:t>
            </w:r>
          </w:p>
        </w:tc>
        <w:tc>
          <w:tcPr>
            <w:tcW w:w="1641" w:type="dxa"/>
            <w:gridSpan w:val="2"/>
            <w:tcBorders>
              <w:top w:val="nil"/>
              <w:left w:val="nil"/>
              <w:bottom w:val="nil"/>
              <w:right w:val="nil"/>
            </w:tcBorders>
            <w:shd w:val="clear" w:color="auto" w:fill="auto"/>
            <w:noWrap/>
            <w:vAlign w:val="bottom"/>
            <w:hideMark/>
          </w:tcPr>
          <w:p w14:paraId="5544388B" w14:textId="77777777" w:rsidR="009326C5" w:rsidRPr="009326C5" w:rsidRDefault="009326C5" w:rsidP="009326C5">
            <w:pPr>
              <w:spacing w:after="0" w:line="240" w:lineRule="auto"/>
              <w:rPr>
                <w:rFonts w:ascii="Calibri" w:eastAsia="Times New Roman" w:hAnsi="Calibri" w:cs="Calibri"/>
                <w:i/>
                <w:iCs/>
                <w:color w:val="000000"/>
              </w:rPr>
            </w:pPr>
          </w:p>
        </w:tc>
      </w:tr>
    </w:tbl>
    <w:p w14:paraId="5763BE8F" w14:textId="77777777" w:rsidR="006A0626" w:rsidRDefault="006A0626" w:rsidP="26407D87">
      <w:pPr>
        <w:rPr>
          <w:b/>
          <w:bCs/>
        </w:rPr>
      </w:pPr>
    </w:p>
    <w:p w14:paraId="6C451336" w14:textId="1FC80490" w:rsidR="00AD54DC" w:rsidRDefault="00AD54DC" w:rsidP="26407D87">
      <w:pPr>
        <w:rPr>
          <w:b/>
          <w:bCs/>
        </w:rPr>
      </w:pPr>
      <w:r>
        <w:rPr>
          <w:b/>
          <w:bCs/>
        </w:rPr>
        <w:t>Reporting on UI Trust Fund Deficit</w:t>
      </w:r>
    </w:p>
    <w:p w14:paraId="41903F7D" w14:textId="79128BE2" w:rsidR="00AD54DC" w:rsidRPr="00F83881" w:rsidRDefault="00F83881" w:rsidP="26407D87">
      <w:r w:rsidRPr="00F83881">
        <w:t>https://www.minnpost.com/state-government/2021/12/minnesota-has-1-billion-in-unemployment-insurance-debt-lawmakers-will-have-to-decide-how-they-want-to-pay-for-it/</w:t>
      </w:r>
    </w:p>
    <w:p w14:paraId="4162F162" w14:textId="77777777" w:rsidR="00AD54DC" w:rsidRDefault="00AD54DC" w:rsidP="26407D87">
      <w:pPr>
        <w:rPr>
          <w:b/>
          <w:bCs/>
        </w:rPr>
      </w:pPr>
    </w:p>
    <w:p w14:paraId="4AB898E8" w14:textId="30FEFDFF" w:rsidR="00E325AF" w:rsidRDefault="0036479B" w:rsidP="26407D87">
      <w:pPr>
        <w:rPr>
          <w:b/>
          <w:bCs/>
        </w:rPr>
      </w:pPr>
      <w:r w:rsidRPr="009F259E">
        <w:rPr>
          <w:b/>
          <w:bCs/>
        </w:rPr>
        <w:t xml:space="preserve">Documentation of </w:t>
      </w:r>
      <w:r w:rsidR="00B8277E" w:rsidRPr="009F259E">
        <w:rPr>
          <w:b/>
          <w:bCs/>
        </w:rPr>
        <w:t xml:space="preserve">Economic Impact </w:t>
      </w:r>
      <w:r w:rsidR="009F259E" w:rsidRPr="009F259E">
        <w:rPr>
          <w:b/>
          <w:bCs/>
        </w:rPr>
        <w:t>of Pandemic on Minnesota</w:t>
      </w:r>
    </w:p>
    <w:p w14:paraId="2F08741F" w14:textId="3AC03754" w:rsidR="009F259E" w:rsidRDefault="009F259E" w:rsidP="26407D87">
      <w:r>
        <w:t xml:space="preserve">Minnesota Management and Budget </w:t>
      </w:r>
      <w:r w:rsidR="00DD342C">
        <w:t xml:space="preserve">(MMB) </w:t>
      </w:r>
      <w:r>
        <w:t>issue</w:t>
      </w:r>
      <w:r w:rsidR="00337C62">
        <w:t xml:space="preserve">s two Budget and Economic Forecast each year, in November and February.  </w:t>
      </w:r>
      <w:r w:rsidR="00DD342C">
        <w:t xml:space="preserve">In addition, MMB issued a special </w:t>
      </w:r>
      <w:r w:rsidR="00130830">
        <w:t xml:space="preserve">interim projection in May 2020 when it was clear that the pandemic would have a significant budget and economic impact.  </w:t>
      </w:r>
      <w:r w:rsidR="00C255CC">
        <w:t xml:space="preserve">Below are links to </w:t>
      </w:r>
      <w:r w:rsidR="001B2457">
        <w:t xml:space="preserve">published forecasts since the beginning of the </w:t>
      </w:r>
      <w:r w:rsidR="00005D78">
        <w:t>p</w:t>
      </w:r>
      <w:r w:rsidR="001B2457">
        <w:t xml:space="preserve">andemic.  In each document, </w:t>
      </w:r>
      <w:r w:rsidR="0093598C">
        <w:t xml:space="preserve">the executive summary, economic outlook and appendix contain charts and tables showing </w:t>
      </w:r>
      <w:r w:rsidR="008D4E41">
        <w:t xml:space="preserve">economic indicators such as GDP, consumer spending, </w:t>
      </w:r>
      <w:r w:rsidR="003B183F">
        <w:t xml:space="preserve">employment, wage and salary, personal income and business impact.  Each of these indicators show </w:t>
      </w:r>
      <w:r w:rsidR="00B23489">
        <w:t xml:space="preserve">the impact of the </w:t>
      </w:r>
      <w:r w:rsidR="00D4008A">
        <w:t>p</w:t>
      </w:r>
      <w:r w:rsidR="00B23489">
        <w:t xml:space="preserve">andemic on Minnesota’s economy in 2020.  </w:t>
      </w:r>
    </w:p>
    <w:p w14:paraId="0864F437" w14:textId="5C05C52A" w:rsidR="00B23489" w:rsidRDefault="00B23489" w:rsidP="26407D87">
      <w:r>
        <w:lastRenderedPageBreak/>
        <w:t>May 2020 Interim Budget Projection</w:t>
      </w:r>
      <w:r w:rsidR="005131DC">
        <w:t>:</w:t>
      </w:r>
      <w:r w:rsidR="00D4008A">
        <w:t xml:space="preserve"> </w:t>
      </w:r>
      <w:hyperlink r:id="rId9" w:history="1">
        <w:r w:rsidR="00D4008A" w:rsidRPr="00D107F9">
          <w:rPr>
            <w:rStyle w:val="Hyperlink"/>
          </w:rPr>
          <w:t>https://mn.gov/mmb-stat/budget/may-interim-budget-projection-document.pdf</w:t>
        </w:r>
      </w:hyperlink>
      <w:r w:rsidR="00D4008A">
        <w:t xml:space="preserve"> </w:t>
      </w:r>
    </w:p>
    <w:p w14:paraId="3F83C92A" w14:textId="3F209AFF" w:rsidR="005131DC" w:rsidRDefault="005131DC" w:rsidP="26407D87">
      <w:r>
        <w:t>November 2020 Budget and Economic Forecast:</w:t>
      </w:r>
      <w:r w:rsidR="00412D0F">
        <w:t xml:space="preserve"> </w:t>
      </w:r>
      <w:hyperlink r:id="rId10" w:history="1">
        <w:r w:rsidR="00412D0F" w:rsidRPr="00D107F9">
          <w:rPr>
            <w:rStyle w:val="Hyperlink"/>
          </w:rPr>
          <w:t>https://mn.gov/mmb-stat/000/az/forecast/2020/budget-and-economic-forecast/november-2020-forecast.pdf</w:t>
        </w:r>
      </w:hyperlink>
      <w:r w:rsidR="00412D0F">
        <w:t xml:space="preserve"> </w:t>
      </w:r>
    </w:p>
    <w:p w14:paraId="7D00882F" w14:textId="0A9EF0E0" w:rsidR="005131DC" w:rsidRDefault="005131DC" w:rsidP="005131DC">
      <w:r>
        <w:t>February 2021 Budget and Economic Forecast:</w:t>
      </w:r>
      <w:r w:rsidR="000D1033">
        <w:t xml:space="preserve"> </w:t>
      </w:r>
      <w:hyperlink r:id="rId11" w:history="1">
        <w:r w:rsidR="000D1033" w:rsidRPr="00D107F9">
          <w:rPr>
            <w:rStyle w:val="Hyperlink"/>
          </w:rPr>
          <w:t>https://mn.gov/mmb-stat/000/az/forecast/2021/budget-and-economic-forecast/february-2021-forecast.pdf</w:t>
        </w:r>
      </w:hyperlink>
      <w:r w:rsidR="000D1033">
        <w:t xml:space="preserve"> </w:t>
      </w:r>
    </w:p>
    <w:p w14:paraId="18756BA3" w14:textId="5C27A699" w:rsidR="005131DC" w:rsidRDefault="005131DC" w:rsidP="005131DC">
      <w:r>
        <w:t xml:space="preserve">November 2021 Budget and Economic Forecast: </w:t>
      </w:r>
      <w:hyperlink r:id="rId12" w:history="1">
        <w:r w:rsidR="000D1033" w:rsidRPr="00D107F9">
          <w:rPr>
            <w:rStyle w:val="Hyperlink"/>
          </w:rPr>
          <w:t>https://mn.gov/mmb-stat/000/az/forecast/2021/budget-and-economic-forecast/november-2021-forecast.pdf</w:t>
        </w:r>
      </w:hyperlink>
      <w:r w:rsidR="000D1033">
        <w:t xml:space="preserve"> </w:t>
      </w:r>
    </w:p>
    <w:p w14:paraId="05EC382D" w14:textId="77777777" w:rsidR="005131DC" w:rsidRPr="009F259E" w:rsidRDefault="005131DC" w:rsidP="26407D87"/>
    <w:p w14:paraId="19FFA55C" w14:textId="285B5B21" w:rsidR="32209D49" w:rsidRPr="00A31296" w:rsidRDefault="003667A2" w:rsidP="26407D87">
      <w:pPr>
        <w:rPr>
          <w:b/>
          <w:bCs/>
        </w:rPr>
      </w:pPr>
      <w:r w:rsidRPr="00A31296">
        <w:rPr>
          <w:b/>
          <w:bCs/>
        </w:rPr>
        <w:t>Expenditure and appropriation tables are available at the following links:</w:t>
      </w:r>
    </w:p>
    <w:p w14:paraId="53C3BA75" w14:textId="040B959A" w:rsidR="003667A2" w:rsidRDefault="000C21EC" w:rsidP="003667A2">
      <w:pPr>
        <w:pStyle w:val="ListParagraph"/>
        <w:numPr>
          <w:ilvl w:val="0"/>
          <w:numId w:val="1"/>
        </w:numPr>
      </w:pPr>
      <w:r>
        <w:t xml:space="preserve">Actual FY17: </w:t>
      </w:r>
      <w:hyperlink r:id="rId13" w:history="1">
        <w:r w:rsidRPr="00854A38">
          <w:rPr>
            <w:rStyle w:val="Hyperlink"/>
          </w:rPr>
          <w:t>https://mn.gov/mmb/assets/fba-nov17fcst-summary_tcm1059-319763.pdf</w:t>
        </w:r>
      </w:hyperlink>
      <w:r>
        <w:t xml:space="preserve"> </w:t>
      </w:r>
    </w:p>
    <w:p w14:paraId="40C091EB" w14:textId="377A99F4" w:rsidR="00902F1D" w:rsidRDefault="000C21EC" w:rsidP="000C21EC">
      <w:pPr>
        <w:pStyle w:val="ListParagraph"/>
        <w:numPr>
          <w:ilvl w:val="0"/>
          <w:numId w:val="1"/>
        </w:numPr>
      </w:pPr>
      <w:r>
        <w:t xml:space="preserve">Actual FY18 and </w:t>
      </w:r>
      <w:r w:rsidR="00B70DED">
        <w:t>A</w:t>
      </w:r>
      <w:r>
        <w:t xml:space="preserve">ctual FY19: </w:t>
      </w:r>
      <w:hyperlink r:id="rId14" w:history="1">
        <w:r w:rsidRPr="00854A38">
          <w:rPr>
            <w:rStyle w:val="Hyperlink"/>
          </w:rPr>
          <w:t>https://mn.gov/mmb-stat/documents/budget/operating-budget/nov19fcst/nov19fcst-fba-summary.pdf</w:t>
        </w:r>
      </w:hyperlink>
      <w:r>
        <w:t xml:space="preserve"> </w:t>
      </w:r>
    </w:p>
    <w:p w14:paraId="629869C2" w14:textId="4CB5C725" w:rsidR="00B70DED" w:rsidRDefault="00B70DED" w:rsidP="000C21EC">
      <w:pPr>
        <w:pStyle w:val="ListParagraph"/>
        <w:numPr>
          <w:ilvl w:val="0"/>
          <w:numId w:val="1"/>
        </w:numPr>
      </w:pPr>
      <w:r>
        <w:t xml:space="preserve">Actual FY20, Actual FY21, Appropriated FY22, and Appropriated FY23: </w:t>
      </w:r>
      <w:hyperlink r:id="rId15" w:history="1">
        <w:r w:rsidRPr="00854A38">
          <w:rPr>
            <w:rStyle w:val="Hyperlink"/>
          </w:rPr>
          <w:t>https://mn.gov/mmb-stat/documents/budget/operating-budget/forecast/nov-2021/nov21fcst-fba-summary.pdf</w:t>
        </w:r>
      </w:hyperlink>
      <w:r>
        <w:t xml:space="preserve"> </w:t>
      </w:r>
    </w:p>
    <w:p w14:paraId="74A5C64E" w14:textId="420593CD" w:rsidR="00B70DED" w:rsidRDefault="00E16459" w:rsidP="00E16459">
      <w:pPr>
        <w:pStyle w:val="ListParagraph"/>
        <w:numPr>
          <w:ilvl w:val="0"/>
          <w:numId w:val="1"/>
        </w:numPr>
      </w:pPr>
      <w:r>
        <w:t xml:space="preserve">Please note that these </w:t>
      </w:r>
      <w:r w:rsidR="00F540B2">
        <w:t xml:space="preserve">linked </w:t>
      </w:r>
      <w:r>
        <w:t>documents show all Higher Education spending,</w:t>
      </w:r>
      <w:r w:rsidR="00F540B2">
        <w:t xml:space="preserve"> including research.</w:t>
      </w:r>
      <w:r>
        <w:t xml:space="preserve"> </w:t>
      </w:r>
      <w:r w:rsidR="00F540B2">
        <w:t xml:space="preserve">However, </w:t>
      </w:r>
      <w:r w:rsidR="005901DE">
        <w:t>per</w:t>
      </w:r>
      <w:r w:rsidR="00F540B2">
        <w:t xml:space="preserve"> the legislation and g</w:t>
      </w:r>
      <w:r w:rsidR="00DE2EC4">
        <w:t>uidance</w:t>
      </w:r>
      <w:r w:rsidR="00F540B2">
        <w:t>, research expenditures have been removed in the data that is submitted on included tables</w:t>
      </w:r>
      <w:r w:rsidR="00DE2EC4">
        <w:t xml:space="preserve">. </w:t>
      </w:r>
      <w:r w:rsidR="00F540B2">
        <w:t xml:space="preserve">Research expenditures that have been removed total approximately $83 million per year. </w:t>
      </w:r>
    </w:p>
    <w:p w14:paraId="12B34A6C" w14:textId="033ABB6C" w:rsidR="00B70DED" w:rsidRDefault="00B70DED" w:rsidP="00B70DED"/>
    <w:p w14:paraId="2CB612FE" w14:textId="401085AC" w:rsidR="00902F1D" w:rsidRPr="0008666B" w:rsidRDefault="00035219" w:rsidP="00035219">
      <w:pPr>
        <w:pStyle w:val="ListParagraph"/>
        <w:numPr>
          <w:ilvl w:val="0"/>
          <w:numId w:val="5"/>
        </w:numPr>
        <w:ind w:left="360"/>
        <w:rPr>
          <w:b/>
          <w:bCs/>
        </w:rPr>
      </w:pPr>
      <w:r w:rsidRPr="0008666B">
        <w:rPr>
          <w:b/>
          <w:bCs/>
        </w:rPr>
        <w:t>In addition, in its waiver request, a State should submit information on the relevant factors listed below to support its request. The Secretary may ask States for additional information after States submit the MOE waiver request form.</w:t>
      </w:r>
    </w:p>
    <w:p w14:paraId="161624B8" w14:textId="4BEE7BB3" w:rsidR="00B05EE7" w:rsidRPr="00F946B9" w:rsidRDefault="00B05EE7" w:rsidP="00B05EE7">
      <w:pPr>
        <w:rPr>
          <w:i/>
          <w:iCs/>
        </w:rPr>
      </w:pPr>
      <w:r w:rsidRPr="00F946B9">
        <w:rPr>
          <w:i/>
          <w:iCs/>
        </w:rPr>
        <w:t>Has the State increased support for education?</w:t>
      </w:r>
    </w:p>
    <w:p w14:paraId="76A53BB4" w14:textId="34FC809A" w:rsidR="006C43B7" w:rsidRDefault="00D24AC3" w:rsidP="00B05EE7">
      <w:r>
        <w:t xml:space="preserve">As indicated on </w:t>
      </w:r>
      <w:r w:rsidR="00B3337F">
        <w:t xml:space="preserve">the data submission table, Minnesota has increased </w:t>
      </w:r>
      <w:r w:rsidR="00900709">
        <w:t xml:space="preserve">– or is projected to increase -- </w:t>
      </w:r>
      <w:r w:rsidR="00B3337F">
        <w:t xml:space="preserve">support for E-12 and Higher Education every year from </w:t>
      </w:r>
      <w:r w:rsidR="00900709">
        <w:t>FY17 to F</w:t>
      </w:r>
      <w:r w:rsidR="008F7065">
        <w:t xml:space="preserve">Y23 with one exception, which is a </w:t>
      </w:r>
      <w:r w:rsidR="00501346">
        <w:t>very small</w:t>
      </w:r>
      <w:r w:rsidR="008F7065">
        <w:t xml:space="preserve"> Higher Education spending decrease </w:t>
      </w:r>
      <w:r w:rsidR="002D4DDA">
        <w:t>in FY23.</w:t>
      </w:r>
      <w:r w:rsidR="008F7065">
        <w:t>*</w:t>
      </w:r>
    </w:p>
    <w:p w14:paraId="4E277AFA" w14:textId="740BE75B" w:rsidR="00A14CBE" w:rsidRDefault="00A14CBE" w:rsidP="00B05EE7">
      <w:r w:rsidRPr="00E90D60">
        <w:rPr>
          <w:u w:val="single"/>
        </w:rPr>
        <w:t>E-12</w:t>
      </w:r>
      <w:r w:rsidR="00E90D60" w:rsidRPr="00E90D60">
        <w:rPr>
          <w:u w:val="single"/>
        </w:rPr>
        <w:t xml:space="preserve"> Background</w:t>
      </w:r>
      <w:r>
        <w:t xml:space="preserve">: </w:t>
      </w:r>
      <w:r w:rsidR="00953138">
        <w:t>Year-over-year e</w:t>
      </w:r>
      <w:r w:rsidR="00560F33">
        <w:t xml:space="preserve">xpenditures on E-12 Education have increased </w:t>
      </w:r>
      <w:r w:rsidR="00334056">
        <w:t xml:space="preserve">each year since FY16. They </w:t>
      </w:r>
      <w:r>
        <w:t xml:space="preserve">are projected to continue to increase, by </w:t>
      </w:r>
      <w:r w:rsidR="00DA6736">
        <w:t>2.6</w:t>
      </w:r>
      <w:r w:rsidR="007351C6">
        <w:t xml:space="preserve">% in FY22, and </w:t>
      </w:r>
      <w:r w:rsidR="00DA6736">
        <w:t>2.9</w:t>
      </w:r>
      <w:r w:rsidR="007351C6">
        <w:t>% in FY23.</w:t>
      </w:r>
      <w:r w:rsidR="0068752A">
        <w:t xml:space="preserve"> The primary per pupil formula</w:t>
      </w:r>
      <w:r w:rsidR="004722C0">
        <w:t xml:space="preserve"> -- </w:t>
      </w:r>
      <w:r w:rsidR="00EE47E9">
        <w:t>which is set via legislation</w:t>
      </w:r>
      <w:r w:rsidR="004722C0">
        <w:t xml:space="preserve"> -- </w:t>
      </w:r>
      <w:r w:rsidR="00DC4A2B">
        <w:t xml:space="preserve">has </w:t>
      </w:r>
      <w:r w:rsidR="00EE47E9">
        <w:t xml:space="preserve">increased </w:t>
      </w:r>
      <w:r w:rsidR="00DC4A2B">
        <w:t xml:space="preserve">every year since 2011, most frequently </w:t>
      </w:r>
      <w:r w:rsidR="00EE47E9">
        <w:t xml:space="preserve">at 2.0% </w:t>
      </w:r>
      <w:r w:rsidR="00DC4A2B">
        <w:t>per year</w:t>
      </w:r>
      <w:r w:rsidR="00314FC2">
        <w:t xml:space="preserve">. </w:t>
      </w:r>
      <w:r w:rsidR="008B3F33">
        <w:t xml:space="preserve">The </w:t>
      </w:r>
      <w:r w:rsidR="00314FC2">
        <w:t>June 2021 budget bill enacted a 2.45% increase</w:t>
      </w:r>
      <w:r w:rsidR="008B3F33">
        <w:t xml:space="preserve"> for FY22</w:t>
      </w:r>
      <w:r w:rsidR="00314FC2">
        <w:t xml:space="preserve">, with an additional 2% on </w:t>
      </w:r>
      <w:r w:rsidR="008B3F33">
        <w:t xml:space="preserve">top of that </w:t>
      </w:r>
      <w:r w:rsidR="002C158C">
        <w:t xml:space="preserve">for FY23. </w:t>
      </w:r>
    </w:p>
    <w:p w14:paraId="32095B88" w14:textId="2C09351E" w:rsidR="00E810D3" w:rsidRDefault="00E810D3" w:rsidP="00B05EE7"/>
    <w:tbl>
      <w:tblPr>
        <w:tblW w:w="9586" w:type="dxa"/>
        <w:tblCellMar>
          <w:top w:w="15" w:type="dxa"/>
          <w:bottom w:w="15" w:type="dxa"/>
        </w:tblCellMar>
        <w:tblLook w:val="04A0" w:firstRow="1" w:lastRow="0" w:firstColumn="1" w:lastColumn="0" w:noHBand="0" w:noVBand="1"/>
      </w:tblPr>
      <w:tblGrid>
        <w:gridCol w:w="3636"/>
        <w:gridCol w:w="2434"/>
        <w:gridCol w:w="2029"/>
        <w:gridCol w:w="1487"/>
      </w:tblGrid>
      <w:tr w:rsidR="00E810D3" w:rsidRPr="00E810D3" w14:paraId="28372B0A" w14:textId="77777777" w:rsidTr="006A0626">
        <w:trPr>
          <w:trHeight w:val="1339"/>
        </w:trPr>
        <w:tc>
          <w:tcPr>
            <w:tcW w:w="3636" w:type="dxa"/>
            <w:tcBorders>
              <w:top w:val="single" w:sz="8" w:space="0" w:color="000000" w:themeColor="text1"/>
              <w:left w:val="single" w:sz="8" w:space="0" w:color="000000" w:themeColor="text1"/>
              <w:bottom w:val="single" w:sz="8" w:space="0" w:color="000000" w:themeColor="text1"/>
              <w:right w:val="single" w:sz="4" w:space="0" w:color="000000" w:themeColor="text1"/>
            </w:tcBorders>
            <w:noWrap/>
            <w:vAlign w:val="bottom"/>
            <w:hideMark/>
          </w:tcPr>
          <w:p w14:paraId="7448B4DE" w14:textId="77777777" w:rsidR="00E810D3" w:rsidRPr="00E810D3" w:rsidRDefault="00E810D3" w:rsidP="00E810D3">
            <w:pPr>
              <w:spacing w:after="0" w:line="240" w:lineRule="auto"/>
              <w:jc w:val="center"/>
              <w:rPr>
                <w:rFonts w:ascii="Calibri" w:eastAsia="Times New Roman" w:hAnsi="Calibri" w:cs="Calibri"/>
                <w:b/>
                <w:bCs/>
                <w:color w:val="000000"/>
              </w:rPr>
            </w:pPr>
            <w:r w:rsidRPr="00E810D3">
              <w:rPr>
                <w:rFonts w:ascii="Calibri" w:eastAsia="Times New Roman" w:hAnsi="Calibri" w:cs="Calibri"/>
                <w:b/>
                <w:bCs/>
                <w:color w:val="000000"/>
              </w:rPr>
              <w:lastRenderedPageBreak/>
              <w:t>Year</w:t>
            </w:r>
          </w:p>
        </w:tc>
        <w:tc>
          <w:tcPr>
            <w:tcW w:w="2434" w:type="dxa"/>
            <w:tcBorders>
              <w:top w:val="single" w:sz="8"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244FA076" w14:textId="77777777" w:rsidR="00E810D3" w:rsidRPr="00E810D3" w:rsidRDefault="00E810D3" w:rsidP="00E810D3">
            <w:pPr>
              <w:spacing w:after="0" w:line="240" w:lineRule="auto"/>
              <w:jc w:val="center"/>
              <w:rPr>
                <w:rFonts w:ascii="Calibri" w:eastAsia="Times New Roman" w:hAnsi="Calibri" w:cs="Calibri"/>
                <w:b/>
                <w:bCs/>
                <w:color w:val="000000"/>
              </w:rPr>
            </w:pPr>
            <w:r w:rsidRPr="00E810D3">
              <w:rPr>
                <w:rFonts w:ascii="Calibri" w:eastAsia="Times New Roman" w:hAnsi="Calibri" w:cs="Calibri"/>
                <w:b/>
                <w:bCs/>
                <w:color w:val="000000"/>
              </w:rPr>
              <w:t>E-12 Total Expenditures ($)</w:t>
            </w:r>
          </w:p>
        </w:tc>
        <w:tc>
          <w:tcPr>
            <w:tcW w:w="2029" w:type="dxa"/>
            <w:tcBorders>
              <w:top w:val="single" w:sz="8"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1DCB936E" w14:textId="77777777" w:rsidR="00E810D3" w:rsidRPr="00E810D3" w:rsidRDefault="00E810D3" w:rsidP="00E810D3">
            <w:pPr>
              <w:spacing w:after="0" w:line="240" w:lineRule="auto"/>
              <w:jc w:val="center"/>
              <w:rPr>
                <w:rFonts w:ascii="Calibri" w:eastAsia="Times New Roman" w:hAnsi="Calibri" w:cs="Calibri"/>
                <w:b/>
                <w:bCs/>
                <w:color w:val="000000"/>
              </w:rPr>
            </w:pPr>
            <w:r w:rsidRPr="00E810D3">
              <w:rPr>
                <w:rFonts w:ascii="Calibri" w:eastAsia="Times New Roman" w:hAnsi="Calibri" w:cs="Calibri"/>
                <w:b/>
                <w:bCs/>
                <w:color w:val="000000"/>
              </w:rPr>
              <w:t>Primary Formula Allowance</w:t>
            </w:r>
            <w:r w:rsidRPr="00E810D3">
              <w:rPr>
                <w:rFonts w:ascii="Calibri" w:eastAsia="Times New Roman" w:hAnsi="Calibri" w:cs="Calibri"/>
                <w:b/>
                <w:bCs/>
                <w:color w:val="000000"/>
              </w:rPr>
              <w:br/>
              <w:t xml:space="preserve"> ($ per pupil unit)</w:t>
            </w:r>
          </w:p>
        </w:tc>
        <w:tc>
          <w:tcPr>
            <w:tcW w:w="1487"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bottom"/>
            <w:hideMark/>
          </w:tcPr>
          <w:p w14:paraId="25E39E28" w14:textId="77777777" w:rsidR="00E810D3" w:rsidRPr="00E810D3" w:rsidRDefault="00E810D3" w:rsidP="00E810D3">
            <w:pPr>
              <w:spacing w:after="0" w:line="240" w:lineRule="auto"/>
              <w:jc w:val="center"/>
              <w:rPr>
                <w:rFonts w:ascii="Calibri" w:eastAsia="Times New Roman" w:hAnsi="Calibri" w:cs="Calibri"/>
                <w:b/>
                <w:bCs/>
                <w:color w:val="000000"/>
              </w:rPr>
            </w:pPr>
            <w:r w:rsidRPr="00E810D3">
              <w:rPr>
                <w:rFonts w:ascii="Calibri" w:eastAsia="Times New Roman" w:hAnsi="Calibri" w:cs="Calibri"/>
                <w:b/>
                <w:bCs/>
                <w:color w:val="000000"/>
              </w:rPr>
              <w:t>Formula Growth</w:t>
            </w:r>
          </w:p>
        </w:tc>
      </w:tr>
      <w:tr w:rsidR="00E810D3" w:rsidRPr="00E810D3" w14:paraId="36D6C8D6" w14:textId="77777777" w:rsidTr="006A0626">
        <w:trPr>
          <w:trHeight w:val="267"/>
        </w:trPr>
        <w:tc>
          <w:tcPr>
            <w:tcW w:w="3636" w:type="dxa"/>
            <w:tcBorders>
              <w:top w:val="nil"/>
              <w:left w:val="single" w:sz="8" w:space="0" w:color="000000" w:themeColor="text1"/>
              <w:bottom w:val="single" w:sz="4" w:space="0" w:color="000000" w:themeColor="text1"/>
              <w:right w:val="single" w:sz="4" w:space="0" w:color="000000" w:themeColor="text1"/>
            </w:tcBorders>
            <w:noWrap/>
            <w:vAlign w:val="bottom"/>
            <w:hideMark/>
          </w:tcPr>
          <w:p w14:paraId="677AF58C"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2008</w:t>
            </w:r>
          </w:p>
        </w:tc>
        <w:tc>
          <w:tcPr>
            <w:tcW w:w="2434"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732AF0AB"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6,819,314,000</w:t>
            </w:r>
          </w:p>
        </w:tc>
        <w:tc>
          <w:tcPr>
            <w:tcW w:w="2029"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515FD724"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5,074 </w:t>
            </w:r>
          </w:p>
        </w:tc>
        <w:tc>
          <w:tcPr>
            <w:tcW w:w="1487" w:type="dxa"/>
            <w:tcBorders>
              <w:top w:val="nil"/>
              <w:left w:val="single" w:sz="4" w:space="0" w:color="000000" w:themeColor="text1"/>
              <w:bottom w:val="single" w:sz="4" w:space="0" w:color="000000" w:themeColor="text1"/>
              <w:right w:val="single" w:sz="8" w:space="0" w:color="000000" w:themeColor="text1"/>
            </w:tcBorders>
            <w:noWrap/>
            <w:vAlign w:val="bottom"/>
            <w:hideMark/>
          </w:tcPr>
          <w:p w14:paraId="64CD6634"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2.0%</w:t>
            </w:r>
          </w:p>
        </w:tc>
      </w:tr>
      <w:tr w:rsidR="00E810D3" w:rsidRPr="00E810D3" w14:paraId="3154B966"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68E37B74"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2009</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A03F671"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6,937,955,000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5123D13"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5,124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27BDA44C"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1.0%</w:t>
            </w:r>
          </w:p>
        </w:tc>
      </w:tr>
      <w:tr w:rsidR="00E810D3" w:rsidRPr="00E810D3" w14:paraId="19A54B73"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1A5943F7"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2010</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D912043"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5,337,878,000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38F99C1"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5,124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670A8536"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0.0%</w:t>
            </w:r>
          </w:p>
        </w:tc>
      </w:tr>
      <w:tr w:rsidR="00E810D3" w:rsidRPr="00E810D3" w14:paraId="36E42DFC"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754C44A7"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2011</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9F2BE9F"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6,083,863,000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087884B"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5,124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2A84775E"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0.0%</w:t>
            </w:r>
          </w:p>
        </w:tc>
      </w:tr>
      <w:tr w:rsidR="00E810D3" w:rsidRPr="00E810D3" w14:paraId="71606B5F"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6AC4F868"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2012</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17AA226"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6,624,867,000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8AB42B9"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5,174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5D2BB8E1"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1.0%</w:t>
            </w:r>
          </w:p>
        </w:tc>
      </w:tr>
      <w:tr w:rsidR="00E810D3" w:rsidRPr="00E810D3" w14:paraId="47ED492E"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1B042156"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2013</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87FA39B"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8,873,712,000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3B4301A"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5,224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52A6112A"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1.0%</w:t>
            </w:r>
          </w:p>
        </w:tc>
      </w:tr>
      <w:tr w:rsidR="00E810D3" w:rsidRPr="00E810D3" w14:paraId="175FEC03"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751D4A24"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2014</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FB23E83"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8,429,970,000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415161B"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5,302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67FE0703"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1.5%</w:t>
            </w:r>
          </w:p>
        </w:tc>
      </w:tr>
      <w:tr w:rsidR="00E810D3" w:rsidRPr="00E810D3" w14:paraId="607BAF44"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55EDF479"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 xml:space="preserve">FY 2015 </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4C8A771"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8,188,287,000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0CC5997"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5,831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7A95D0E4"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2.0%*</w:t>
            </w:r>
          </w:p>
        </w:tc>
      </w:tr>
      <w:tr w:rsidR="00E810D3" w:rsidRPr="00E810D3" w14:paraId="5B3CB8D7"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03FFA809"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2016</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1DE1D11"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8,507,385,000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10DC6B4"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5,948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488CC3B4"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2.0%</w:t>
            </w:r>
          </w:p>
        </w:tc>
      </w:tr>
      <w:tr w:rsidR="00E810D3" w:rsidRPr="00E810D3" w14:paraId="368AB841"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438BF1E3"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2017</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ACB6CE0"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8,901,333,000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91CBE4B"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6,067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7EBD12E4"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2.0%</w:t>
            </w:r>
          </w:p>
        </w:tc>
      </w:tr>
      <w:tr w:rsidR="00E810D3" w:rsidRPr="00E810D3" w14:paraId="0608D16D"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02CB602C"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2018</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F352132"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9,233,048,000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4475142"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6,188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7F053680"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2.0%</w:t>
            </w:r>
          </w:p>
        </w:tc>
      </w:tr>
      <w:tr w:rsidR="00E810D3" w:rsidRPr="00E810D3" w14:paraId="1E9CAD5D"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1B56FF11"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2019</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383F90D"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9,587,811,000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8F66BAC"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6,312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108D7A62"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2.0%</w:t>
            </w:r>
          </w:p>
        </w:tc>
      </w:tr>
      <w:tr w:rsidR="00E810D3" w:rsidRPr="00E810D3" w14:paraId="2C6A30F1"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7BB37F41" w14:textId="77777777" w:rsidR="00E810D3" w:rsidRPr="00E810D3" w:rsidRDefault="00E810D3" w:rsidP="00E810D3">
            <w:pPr>
              <w:spacing w:after="0" w:line="240" w:lineRule="auto"/>
              <w:rPr>
                <w:rFonts w:ascii="Calibri" w:eastAsia="Times New Roman" w:hAnsi="Calibri" w:cs="Calibri"/>
                <w:color w:val="000000"/>
              </w:rPr>
            </w:pPr>
            <w:r w:rsidRPr="00E810D3">
              <w:rPr>
                <w:rFonts w:ascii="Calibri" w:eastAsia="Times New Roman" w:hAnsi="Calibri" w:cs="Calibri"/>
                <w:color w:val="000000"/>
              </w:rPr>
              <w:t>FY 2020</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025E2D7"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9,835,739,000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87C2042"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6,438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0CEE48C4"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2.0%</w:t>
            </w:r>
          </w:p>
        </w:tc>
      </w:tr>
      <w:tr w:rsidR="00E810D3" w:rsidRPr="00E810D3" w14:paraId="4CD9E277"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00E447B3" w14:textId="5CA15EA5" w:rsidR="00E810D3" w:rsidRPr="00EE737D" w:rsidRDefault="75950959" w:rsidP="26407D87">
            <w:pPr>
              <w:spacing w:after="0" w:line="240" w:lineRule="auto"/>
              <w:rPr>
                <w:rFonts w:ascii="Calibri" w:eastAsia="Times New Roman" w:hAnsi="Calibri" w:cs="Calibri"/>
                <w:color w:val="000000"/>
              </w:rPr>
            </w:pPr>
            <w:r w:rsidRPr="00EE737D">
              <w:rPr>
                <w:rFonts w:ascii="Calibri" w:eastAsia="Times New Roman" w:hAnsi="Calibri" w:cs="Calibri"/>
                <w:color w:val="000000" w:themeColor="text1"/>
              </w:rPr>
              <w:t xml:space="preserve">FY 2021 </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09F4FB4" w14:textId="6C6E324F" w:rsidR="00E810D3" w:rsidRPr="00EE737D" w:rsidRDefault="00C02B2F" w:rsidP="26407D87">
            <w:pPr>
              <w:spacing w:after="0" w:line="240" w:lineRule="auto"/>
              <w:jc w:val="right"/>
              <w:rPr>
                <w:rFonts w:ascii="Calibri" w:eastAsia="Times New Roman" w:hAnsi="Calibri" w:cs="Calibri"/>
                <w:color w:val="000000"/>
              </w:rPr>
            </w:pPr>
            <w:r w:rsidRPr="00EE737D">
              <w:rPr>
                <w:rFonts w:ascii="Calibri" w:eastAsia="Times New Roman" w:hAnsi="Calibri" w:cs="Calibri"/>
                <w:color w:val="000000" w:themeColor="text1"/>
              </w:rPr>
              <w:t>9</w:t>
            </w:r>
            <w:r w:rsidR="00EE737D" w:rsidRPr="00EE737D">
              <w:rPr>
                <w:rFonts w:ascii="Calibri" w:eastAsia="Times New Roman" w:hAnsi="Calibri" w:cs="Calibri"/>
                <w:color w:val="000000" w:themeColor="text1"/>
              </w:rPr>
              <w:t>,</w:t>
            </w:r>
            <w:r w:rsidRPr="00EE737D">
              <w:rPr>
                <w:rFonts w:ascii="Calibri" w:eastAsia="Times New Roman" w:hAnsi="Calibri" w:cs="Calibri"/>
                <w:color w:val="000000" w:themeColor="text1"/>
              </w:rPr>
              <w:t>919</w:t>
            </w:r>
            <w:r w:rsidR="00EE737D" w:rsidRPr="00EE737D">
              <w:rPr>
                <w:rFonts w:ascii="Calibri" w:eastAsia="Times New Roman" w:hAnsi="Calibri" w:cs="Calibri"/>
                <w:color w:val="000000" w:themeColor="text1"/>
              </w:rPr>
              <w:t>,135</w:t>
            </w:r>
            <w:r w:rsidR="75950959" w:rsidRPr="00EE737D">
              <w:rPr>
                <w:rFonts w:ascii="Calibri" w:eastAsia="Times New Roman" w:hAnsi="Calibri" w:cs="Calibri"/>
                <w:color w:val="000000" w:themeColor="text1"/>
              </w:rPr>
              <w:t>,000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AC196A5"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6,567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3FBCE63F"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2.0%</w:t>
            </w:r>
          </w:p>
        </w:tc>
      </w:tr>
      <w:tr w:rsidR="00E810D3" w:rsidRPr="00E810D3" w14:paraId="4A8C2B09" w14:textId="77777777" w:rsidTr="006A0626">
        <w:trPr>
          <w:trHeight w:val="267"/>
        </w:trPr>
        <w:tc>
          <w:tcPr>
            <w:tcW w:w="3636" w:type="dxa"/>
            <w:tcBorders>
              <w:top w:val="single" w:sz="4" w:space="0" w:color="000000" w:themeColor="text1"/>
              <w:left w:val="single" w:sz="8" w:space="0" w:color="000000" w:themeColor="text1"/>
              <w:bottom w:val="single" w:sz="4" w:space="0" w:color="000000" w:themeColor="text1"/>
              <w:right w:val="single" w:sz="4" w:space="0" w:color="000000" w:themeColor="text1"/>
            </w:tcBorders>
            <w:noWrap/>
            <w:vAlign w:val="bottom"/>
            <w:hideMark/>
          </w:tcPr>
          <w:p w14:paraId="5DD1D86E" w14:textId="77777777" w:rsidR="00E810D3" w:rsidRPr="00EE737D" w:rsidRDefault="75950959" w:rsidP="26407D87">
            <w:pPr>
              <w:spacing w:after="0" w:line="240" w:lineRule="auto"/>
              <w:rPr>
                <w:rFonts w:ascii="Calibri" w:eastAsia="Times New Roman" w:hAnsi="Calibri" w:cs="Calibri"/>
                <w:color w:val="000000"/>
              </w:rPr>
            </w:pPr>
            <w:r w:rsidRPr="00EE737D">
              <w:rPr>
                <w:rFonts w:ascii="Calibri" w:eastAsia="Times New Roman" w:hAnsi="Calibri" w:cs="Calibri"/>
                <w:color w:val="000000" w:themeColor="text1"/>
              </w:rPr>
              <w:t>FY 2022 (appropriated)</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668CEB3" w14:textId="2A7C8921" w:rsidR="00E810D3" w:rsidRPr="00EE737D" w:rsidRDefault="75950959" w:rsidP="26407D87">
            <w:pPr>
              <w:spacing w:after="0" w:line="240" w:lineRule="auto"/>
              <w:jc w:val="right"/>
              <w:rPr>
                <w:rFonts w:ascii="Calibri" w:eastAsia="Times New Roman" w:hAnsi="Calibri" w:cs="Calibri"/>
                <w:color w:val="000000"/>
              </w:rPr>
            </w:pPr>
            <w:r w:rsidRPr="00EE737D">
              <w:rPr>
                <w:rFonts w:ascii="Calibri" w:eastAsia="Times New Roman" w:hAnsi="Calibri" w:cs="Calibri"/>
                <w:color w:val="000000" w:themeColor="text1"/>
              </w:rPr>
              <w:t>10,</w:t>
            </w:r>
            <w:r w:rsidR="00EE737D" w:rsidRPr="00EE737D">
              <w:rPr>
                <w:rFonts w:ascii="Calibri" w:eastAsia="Times New Roman" w:hAnsi="Calibri" w:cs="Calibri"/>
                <w:color w:val="000000" w:themeColor="text1"/>
              </w:rPr>
              <w:t>180,844</w:t>
            </w:r>
            <w:r w:rsidRPr="00EE737D">
              <w:rPr>
                <w:rFonts w:ascii="Calibri" w:eastAsia="Times New Roman" w:hAnsi="Calibri" w:cs="Calibri"/>
                <w:color w:val="000000" w:themeColor="text1"/>
              </w:rPr>
              <w:t>,000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DCE8199"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6,728 </w:t>
            </w:r>
          </w:p>
        </w:tc>
        <w:tc>
          <w:tcPr>
            <w:tcW w:w="1487" w:type="dxa"/>
            <w:tcBorders>
              <w:top w:val="single" w:sz="4" w:space="0" w:color="000000" w:themeColor="text1"/>
              <w:left w:val="single" w:sz="4" w:space="0" w:color="000000" w:themeColor="text1"/>
              <w:bottom w:val="single" w:sz="4" w:space="0" w:color="000000" w:themeColor="text1"/>
              <w:right w:val="single" w:sz="8" w:space="0" w:color="000000" w:themeColor="text1"/>
            </w:tcBorders>
            <w:noWrap/>
            <w:vAlign w:val="bottom"/>
            <w:hideMark/>
          </w:tcPr>
          <w:p w14:paraId="464E7285"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2.45%</w:t>
            </w:r>
          </w:p>
        </w:tc>
      </w:tr>
      <w:tr w:rsidR="00E810D3" w:rsidRPr="00E810D3" w14:paraId="13C5C3B5" w14:textId="77777777" w:rsidTr="006A0626">
        <w:trPr>
          <w:trHeight w:val="267"/>
        </w:trPr>
        <w:tc>
          <w:tcPr>
            <w:tcW w:w="3636" w:type="dxa"/>
            <w:tcBorders>
              <w:top w:val="single" w:sz="4" w:space="0" w:color="000000" w:themeColor="text1"/>
              <w:left w:val="single" w:sz="8" w:space="0" w:color="000000" w:themeColor="text1"/>
              <w:bottom w:val="single" w:sz="8" w:space="0" w:color="000000" w:themeColor="text1"/>
              <w:right w:val="single" w:sz="4" w:space="0" w:color="000000" w:themeColor="text1"/>
            </w:tcBorders>
            <w:noWrap/>
            <w:vAlign w:val="bottom"/>
            <w:hideMark/>
          </w:tcPr>
          <w:p w14:paraId="7E5BE67C" w14:textId="77777777" w:rsidR="00E810D3" w:rsidRPr="00EE737D" w:rsidRDefault="75950959" w:rsidP="26407D87">
            <w:pPr>
              <w:spacing w:after="0" w:line="240" w:lineRule="auto"/>
              <w:rPr>
                <w:rFonts w:ascii="Calibri" w:eastAsia="Times New Roman" w:hAnsi="Calibri" w:cs="Calibri"/>
                <w:color w:val="000000"/>
              </w:rPr>
            </w:pPr>
            <w:r w:rsidRPr="00EE737D">
              <w:rPr>
                <w:rFonts w:ascii="Calibri" w:eastAsia="Times New Roman" w:hAnsi="Calibri" w:cs="Calibri"/>
                <w:color w:val="000000" w:themeColor="text1"/>
              </w:rPr>
              <w:t>FY 2023 (appropriated)</w:t>
            </w:r>
          </w:p>
        </w:tc>
        <w:tc>
          <w:tcPr>
            <w:tcW w:w="2434"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26A62AAB" w14:textId="3FD450FE" w:rsidR="00E810D3" w:rsidRPr="00EE737D" w:rsidRDefault="75950959" w:rsidP="26407D87">
            <w:pPr>
              <w:spacing w:after="0" w:line="240" w:lineRule="auto"/>
              <w:jc w:val="right"/>
              <w:rPr>
                <w:rFonts w:ascii="Calibri" w:eastAsia="Times New Roman" w:hAnsi="Calibri" w:cs="Calibri"/>
                <w:color w:val="000000"/>
              </w:rPr>
            </w:pPr>
            <w:r w:rsidRPr="00EE737D">
              <w:rPr>
                <w:rFonts w:ascii="Calibri" w:eastAsia="Times New Roman" w:hAnsi="Calibri" w:cs="Calibri"/>
                <w:color w:val="000000" w:themeColor="text1"/>
              </w:rPr>
              <w:t>10,</w:t>
            </w:r>
            <w:r w:rsidR="00EE737D" w:rsidRPr="00EE737D">
              <w:rPr>
                <w:rFonts w:ascii="Calibri" w:eastAsia="Times New Roman" w:hAnsi="Calibri" w:cs="Calibri"/>
                <w:color w:val="000000" w:themeColor="text1"/>
              </w:rPr>
              <w:t>479,704</w:t>
            </w:r>
            <w:r w:rsidRPr="00EE737D">
              <w:rPr>
                <w:rFonts w:ascii="Calibri" w:eastAsia="Times New Roman" w:hAnsi="Calibri" w:cs="Calibri"/>
                <w:color w:val="000000" w:themeColor="text1"/>
              </w:rPr>
              <w:t>,000</w:t>
            </w:r>
          </w:p>
        </w:tc>
        <w:tc>
          <w:tcPr>
            <w:tcW w:w="2029"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4FBFB345"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 xml:space="preserve"> 6,863 </w:t>
            </w:r>
          </w:p>
        </w:tc>
        <w:tc>
          <w:tcPr>
            <w:tcW w:w="1487" w:type="dxa"/>
            <w:tcBorders>
              <w:top w:val="single" w:sz="4" w:space="0" w:color="000000" w:themeColor="text1"/>
              <w:left w:val="single" w:sz="4" w:space="0" w:color="000000" w:themeColor="text1"/>
              <w:bottom w:val="single" w:sz="8" w:space="0" w:color="000000" w:themeColor="text1"/>
              <w:right w:val="single" w:sz="8" w:space="0" w:color="000000" w:themeColor="text1"/>
            </w:tcBorders>
            <w:noWrap/>
            <w:vAlign w:val="bottom"/>
            <w:hideMark/>
          </w:tcPr>
          <w:p w14:paraId="084D2D0B" w14:textId="77777777" w:rsidR="00E810D3" w:rsidRPr="00E810D3" w:rsidRDefault="00E810D3" w:rsidP="00E810D3">
            <w:pPr>
              <w:spacing w:after="0" w:line="240" w:lineRule="auto"/>
              <w:jc w:val="right"/>
              <w:rPr>
                <w:rFonts w:ascii="Calibri" w:eastAsia="Times New Roman" w:hAnsi="Calibri" w:cs="Calibri"/>
                <w:color w:val="000000"/>
              </w:rPr>
            </w:pPr>
            <w:r w:rsidRPr="00E810D3">
              <w:rPr>
                <w:rFonts w:ascii="Calibri" w:eastAsia="Times New Roman" w:hAnsi="Calibri" w:cs="Calibri"/>
                <w:color w:val="000000"/>
              </w:rPr>
              <w:t>2.0%</w:t>
            </w:r>
          </w:p>
        </w:tc>
      </w:tr>
    </w:tbl>
    <w:p w14:paraId="78478906" w14:textId="5AE6D5EA" w:rsidR="00E810D3" w:rsidRDefault="000F563D" w:rsidP="00B05EE7">
      <w:r w:rsidRPr="000F563D">
        <w:t>*Statutory formula allowance increased 10% due to a previously separate program being rolled into the primary formula. Aside from that roll-in, the increase was 2.0%.</w:t>
      </w:r>
    </w:p>
    <w:p w14:paraId="18A9AACF" w14:textId="77777777" w:rsidR="001400A0" w:rsidRDefault="001400A0" w:rsidP="00B05EE7"/>
    <w:p w14:paraId="2703C1B6" w14:textId="7788E01B" w:rsidR="00E1451B" w:rsidRDefault="00A14CBE" w:rsidP="00B05EE7">
      <w:r w:rsidRPr="00E90D60">
        <w:rPr>
          <w:u w:val="single"/>
        </w:rPr>
        <w:t>Higher Ed</w:t>
      </w:r>
      <w:r w:rsidR="00E90D60" w:rsidRPr="00E90D60">
        <w:rPr>
          <w:u w:val="single"/>
        </w:rPr>
        <w:t xml:space="preserve"> Background</w:t>
      </w:r>
      <w:r>
        <w:t>:</w:t>
      </w:r>
      <w:r w:rsidR="00EA4C1F">
        <w:t xml:space="preserve"> </w:t>
      </w:r>
      <w:r w:rsidR="00C2108F">
        <w:t xml:space="preserve">Higher Ed expenditures have increased each year but </w:t>
      </w:r>
      <w:r w:rsidR="008E4DF8">
        <w:t>one (FY19) since FY13. They are projected to increase</w:t>
      </w:r>
      <w:r w:rsidR="000A66DD">
        <w:t xml:space="preserve"> by</w:t>
      </w:r>
      <w:r w:rsidR="00475DB5">
        <w:t xml:space="preserve"> </w:t>
      </w:r>
      <w:r w:rsidR="000A66DD">
        <w:t>2.</w:t>
      </w:r>
      <w:r w:rsidR="00475DB5">
        <w:t>5</w:t>
      </w:r>
      <w:r w:rsidR="000A66DD">
        <w:t xml:space="preserve">% in FY22, and </w:t>
      </w:r>
      <w:r w:rsidR="00D36CF4">
        <w:t>decrease by</w:t>
      </w:r>
      <w:r w:rsidR="007D550A">
        <w:t xml:space="preserve"> -0.02% in FY23.</w:t>
      </w:r>
      <w:r w:rsidR="00E1451B">
        <w:t>*</w:t>
      </w:r>
      <w:r w:rsidR="007D550A">
        <w:t xml:space="preserve"> </w:t>
      </w:r>
    </w:p>
    <w:p w14:paraId="02A77191" w14:textId="77777777" w:rsidR="003A62ED" w:rsidRDefault="003A62ED" w:rsidP="00B05EE7"/>
    <w:p w14:paraId="7DEAAD37" w14:textId="3862C72A" w:rsidR="00A14CBE" w:rsidRDefault="00E1451B" w:rsidP="00B05EE7">
      <w:r>
        <w:t>*</w:t>
      </w:r>
      <w:r w:rsidR="007D550A">
        <w:t xml:space="preserve">Note that </w:t>
      </w:r>
      <w:r w:rsidR="00D36CF4">
        <w:t>th</w:t>
      </w:r>
      <w:r>
        <w:t>e</w:t>
      </w:r>
      <w:r w:rsidR="00D36CF4">
        <w:t xml:space="preserve"> </w:t>
      </w:r>
      <w:r w:rsidR="00D73367">
        <w:t xml:space="preserve">small </w:t>
      </w:r>
      <w:r w:rsidR="00D36CF4">
        <w:t xml:space="preserve">FY23 </w:t>
      </w:r>
      <w:r>
        <w:t xml:space="preserve">Higher Ed </w:t>
      </w:r>
      <w:r w:rsidR="00D36CF4">
        <w:t xml:space="preserve">decrease </w:t>
      </w:r>
      <w:r>
        <w:t>(</w:t>
      </w:r>
      <w:r w:rsidR="00A036A0">
        <w:t>-0.02%, or</w:t>
      </w:r>
      <w:r>
        <w:t xml:space="preserve"> </w:t>
      </w:r>
      <w:r w:rsidR="00D36CF4">
        <w:t>$334,000</w:t>
      </w:r>
      <w:r w:rsidR="00A036A0">
        <w:t>,</w:t>
      </w:r>
      <w:r>
        <w:t xml:space="preserve"> reduction from FY22)</w:t>
      </w:r>
      <w:r w:rsidR="00B81753">
        <w:t xml:space="preserve"> shown on Minnesota’s fund statements</w:t>
      </w:r>
      <w:r w:rsidR="00D36CF4">
        <w:t xml:space="preserve"> is </w:t>
      </w:r>
      <w:r w:rsidR="00586AC2">
        <w:t>a result of certain</w:t>
      </w:r>
      <w:r w:rsidR="0068491F">
        <w:t xml:space="preserve"> onetime</w:t>
      </w:r>
      <w:r w:rsidR="00586AC2">
        <w:t xml:space="preserve"> appropriations that were made </w:t>
      </w:r>
      <w:r w:rsidR="0068491F">
        <w:t>for</w:t>
      </w:r>
      <w:r w:rsidR="00586AC2">
        <w:t xml:space="preserve"> FY22</w:t>
      </w:r>
      <w:r w:rsidR="009B7185">
        <w:t>.</w:t>
      </w:r>
      <w:r w:rsidR="0068491F">
        <w:t xml:space="preserve"> </w:t>
      </w:r>
      <w:r w:rsidR="000F7F57">
        <w:t>The</w:t>
      </w:r>
      <w:r w:rsidR="00B81753">
        <w:t>se funds</w:t>
      </w:r>
      <w:r w:rsidR="0068491F">
        <w:t xml:space="preserve"> are shown on statements as expended in FY22</w:t>
      </w:r>
      <w:r w:rsidR="000F7F57">
        <w:t>, but are in fact available for use</w:t>
      </w:r>
      <w:r w:rsidR="00B81753">
        <w:t xml:space="preserve"> through FY25</w:t>
      </w:r>
      <w:r w:rsidR="0068491F">
        <w:t>.</w:t>
      </w:r>
      <w:r w:rsidR="007D550A">
        <w:t xml:space="preserve"> </w:t>
      </w:r>
      <w:r w:rsidR="009B7185">
        <w:t>I</w:t>
      </w:r>
      <w:r w:rsidR="00F976F6">
        <w:t>t is entirely possible</w:t>
      </w:r>
      <w:r w:rsidR="00D73367">
        <w:t xml:space="preserve"> -- </w:t>
      </w:r>
      <w:r w:rsidR="00F976F6">
        <w:t>if not likely</w:t>
      </w:r>
      <w:r w:rsidR="00D73367">
        <w:t xml:space="preserve"> --</w:t>
      </w:r>
      <w:r w:rsidR="00F976F6">
        <w:t xml:space="preserve"> that final expenditure</w:t>
      </w:r>
      <w:r w:rsidR="00E44137">
        <w:t xml:space="preserve"> of these funds</w:t>
      </w:r>
      <w:r w:rsidR="00F976F6">
        <w:t xml:space="preserve"> </w:t>
      </w:r>
      <w:r w:rsidR="002D4DDA">
        <w:t>will be spread over FY22-25</w:t>
      </w:r>
      <w:r w:rsidR="00346BC3">
        <w:t>.</w:t>
      </w:r>
      <w:r w:rsidR="002D4DDA">
        <w:t xml:space="preserve"> </w:t>
      </w:r>
      <w:r w:rsidR="00346BC3">
        <w:t>A</w:t>
      </w:r>
      <w:r w:rsidR="002D4DDA">
        <w:t xml:space="preserve">s a result, there would be </w:t>
      </w:r>
      <w:r w:rsidR="00D73367">
        <w:t>a</w:t>
      </w:r>
      <w:r w:rsidR="009B7185">
        <w:t xml:space="preserve"> year over year </w:t>
      </w:r>
      <w:r w:rsidR="00F976F6">
        <w:t>increas</w:t>
      </w:r>
      <w:r w:rsidR="001B4B00">
        <w:t xml:space="preserve">e from FY22 to </w:t>
      </w:r>
      <w:r w:rsidR="00F976F6">
        <w:t>FY23.</w:t>
      </w:r>
      <w:r w:rsidR="00F57248">
        <w:t xml:space="preserve"> </w:t>
      </w:r>
      <w:r w:rsidR="001B4B00">
        <w:t>It is also possible that other funds shown as expended</w:t>
      </w:r>
      <w:r w:rsidR="00D36CF4">
        <w:t xml:space="preserve"> </w:t>
      </w:r>
      <w:r w:rsidR="002B60F3">
        <w:t>in FY22 will actually be expended in FY23</w:t>
      </w:r>
      <w:r w:rsidR="00E679D9">
        <w:t xml:space="preserve"> or later</w:t>
      </w:r>
      <w:r w:rsidR="002B60F3">
        <w:t xml:space="preserve">. </w:t>
      </w:r>
      <w:r w:rsidR="001B4B00">
        <w:t>Finally, it is possible that additional funds will be appropriated for Higher Education for FY23 in the 2022 legislative session.</w:t>
      </w:r>
    </w:p>
    <w:p w14:paraId="4FEFA1AC" w14:textId="77777777" w:rsidR="00A14CBE" w:rsidRDefault="00A14CBE" w:rsidP="00B05EE7"/>
    <w:p w14:paraId="7122B274" w14:textId="3E4FE964" w:rsidR="00B05EE7" w:rsidRDefault="00B05EE7" w:rsidP="00B05EE7">
      <w:pPr>
        <w:rPr>
          <w:i/>
          <w:iCs/>
        </w:rPr>
      </w:pPr>
      <w:r w:rsidRPr="00F946B9">
        <w:rPr>
          <w:i/>
          <w:iCs/>
        </w:rPr>
        <w:t>Are there exceptional circumstances that caused the State to be unable to maintain support for education?</w:t>
      </w:r>
    </w:p>
    <w:p w14:paraId="1AB973D4" w14:textId="3DFEE021" w:rsidR="002A0854" w:rsidRDefault="002A0854" w:rsidP="00B05EE7">
      <w:r>
        <w:t>As noted above, Minnesota has a long record -- with few exceptions -- of not just maintaining but regularly increasing support for education.</w:t>
      </w:r>
    </w:p>
    <w:p w14:paraId="33A61091" w14:textId="7BBA0F8D" w:rsidR="00AF03BE" w:rsidRPr="002A0854" w:rsidRDefault="006960C8" w:rsidP="00B05EE7">
      <w:r>
        <w:lastRenderedPageBreak/>
        <w:t>Minnesota has been able to maintain state support for education</w:t>
      </w:r>
      <w:r w:rsidR="00573A2D">
        <w:t xml:space="preserve"> on a year-over-year basis</w:t>
      </w:r>
      <w:r>
        <w:t xml:space="preserve">, </w:t>
      </w:r>
      <w:r w:rsidR="00573A2D">
        <w:t xml:space="preserve">but it has also chosen to direct certain resources from the State Fiscal Recovery Fund </w:t>
      </w:r>
      <w:r w:rsidR="00644E2E">
        <w:t xml:space="preserve">(SFRF) </w:t>
      </w:r>
      <w:r w:rsidR="00573A2D">
        <w:t xml:space="preserve">to education as a supplement to state funds. </w:t>
      </w:r>
      <w:r w:rsidR="00644E2E">
        <w:t xml:space="preserve">SFRF allocations to date include </w:t>
      </w:r>
      <w:hyperlink r:id="rId16" w:history="1">
        <w:r w:rsidR="00644E2E" w:rsidRPr="00980CF8">
          <w:rPr>
            <w:rStyle w:val="Hyperlink"/>
          </w:rPr>
          <w:t>$75 million for summer learning</w:t>
        </w:r>
      </w:hyperlink>
      <w:r w:rsidR="00644E2E">
        <w:t xml:space="preserve">, </w:t>
      </w:r>
      <w:r w:rsidR="00EF0732">
        <w:t xml:space="preserve">$35 million for </w:t>
      </w:r>
      <w:r w:rsidR="00FC4E05">
        <w:t xml:space="preserve">higher education </w:t>
      </w:r>
      <w:hyperlink r:id="rId17" w:history="1">
        <w:r w:rsidR="00FC4E05" w:rsidRPr="00FC4E05">
          <w:rPr>
            <w:rStyle w:val="Hyperlink"/>
          </w:rPr>
          <w:t>workforce stabilization grants</w:t>
        </w:r>
      </w:hyperlink>
      <w:r w:rsidR="00FC4E05">
        <w:t xml:space="preserve">, </w:t>
      </w:r>
      <w:r w:rsidR="00902A5E">
        <w:t xml:space="preserve">$29 million for </w:t>
      </w:r>
      <w:hyperlink r:id="rId18" w:history="1">
        <w:r w:rsidR="00902A5E" w:rsidRPr="005276C7">
          <w:rPr>
            <w:rStyle w:val="Hyperlink"/>
          </w:rPr>
          <w:t>school districts that have experienced declining enrollment</w:t>
        </w:r>
      </w:hyperlink>
      <w:r w:rsidR="00902A5E">
        <w:t xml:space="preserve">, </w:t>
      </w:r>
      <w:r w:rsidR="00042F4E">
        <w:t>and smaller amounts for education-related nonprofits and grants.</w:t>
      </w:r>
    </w:p>
    <w:p w14:paraId="7CDF1F63" w14:textId="16C4029E" w:rsidR="00B05EE7" w:rsidRDefault="00B05EE7" w:rsidP="00B05EE7"/>
    <w:p w14:paraId="78A51F5E" w14:textId="37CDE926" w:rsidR="00B05EE7" w:rsidRDefault="00B05EE7" w:rsidP="00B05EE7">
      <w:pPr>
        <w:rPr>
          <w:i/>
          <w:iCs/>
        </w:rPr>
      </w:pPr>
      <w:r w:rsidRPr="00F946B9">
        <w:rPr>
          <w:i/>
          <w:iCs/>
        </w:rPr>
        <w:t>Has the state used or will the state use ESSER, GEER, or Higher Education Emergency Relief (HEER) funding to replace State funding for education?</w:t>
      </w:r>
    </w:p>
    <w:p w14:paraId="4D1CC4D9" w14:textId="0C8AA05B" w:rsidR="0039696D" w:rsidRDefault="002A0854" w:rsidP="00B05EE7">
      <w:r>
        <w:t xml:space="preserve">No. </w:t>
      </w:r>
      <w:r w:rsidR="0095249D">
        <w:t xml:space="preserve">With the one exception noted above, Minnesota has enacted increases to General Fund spending on E-12 and Higher Education. ESSER, GEER, and HEER funds are supplementing these increases. </w:t>
      </w:r>
    </w:p>
    <w:p w14:paraId="0F47BABA" w14:textId="7170D6C4" w:rsidR="00C474E7" w:rsidRDefault="00C474E7" w:rsidP="006A0626">
      <w:pPr>
        <w:pStyle w:val="Heading2"/>
      </w:pPr>
    </w:p>
    <w:sectPr w:rsidR="00C474E7" w:rsidSect="0045795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81D"/>
    <w:multiLevelType w:val="hybridMultilevel"/>
    <w:tmpl w:val="C026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47331"/>
    <w:multiLevelType w:val="hybridMultilevel"/>
    <w:tmpl w:val="F3BC3F18"/>
    <w:lvl w:ilvl="0" w:tplc="CF36E3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A6E95"/>
    <w:multiLevelType w:val="hybridMultilevel"/>
    <w:tmpl w:val="FCB8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262D2"/>
    <w:multiLevelType w:val="hybridMultilevel"/>
    <w:tmpl w:val="CD5487FC"/>
    <w:lvl w:ilvl="0" w:tplc="69346C8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C6425"/>
    <w:multiLevelType w:val="hybridMultilevel"/>
    <w:tmpl w:val="9F88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CD8295"/>
    <w:rsid w:val="00003E1D"/>
    <w:rsid w:val="00005D78"/>
    <w:rsid w:val="00035219"/>
    <w:rsid w:val="00042F4E"/>
    <w:rsid w:val="00054A8A"/>
    <w:rsid w:val="0008666B"/>
    <w:rsid w:val="00087CC6"/>
    <w:rsid w:val="000958CA"/>
    <w:rsid w:val="000A2035"/>
    <w:rsid w:val="000A66DD"/>
    <w:rsid w:val="000C21EC"/>
    <w:rsid w:val="000D0492"/>
    <w:rsid w:val="000D1033"/>
    <w:rsid w:val="000E36C1"/>
    <w:rsid w:val="000F563D"/>
    <w:rsid w:val="000F7F57"/>
    <w:rsid w:val="00101BA2"/>
    <w:rsid w:val="00107FB6"/>
    <w:rsid w:val="00117F64"/>
    <w:rsid w:val="00120415"/>
    <w:rsid w:val="00124E8A"/>
    <w:rsid w:val="00125910"/>
    <w:rsid w:val="00130830"/>
    <w:rsid w:val="001400A0"/>
    <w:rsid w:val="0015646A"/>
    <w:rsid w:val="00167473"/>
    <w:rsid w:val="00174880"/>
    <w:rsid w:val="00182A6D"/>
    <w:rsid w:val="00194D16"/>
    <w:rsid w:val="001B2457"/>
    <w:rsid w:val="001B4B00"/>
    <w:rsid w:val="001C43A9"/>
    <w:rsid w:val="001F4CC8"/>
    <w:rsid w:val="001F6CF9"/>
    <w:rsid w:val="00206D77"/>
    <w:rsid w:val="002577A6"/>
    <w:rsid w:val="0027003B"/>
    <w:rsid w:val="0029396B"/>
    <w:rsid w:val="00293A48"/>
    <w:rsid w:val="002A0854"/>
    <w:rsid w:val="002A1E4D"/>
    <w:rsid w:val="002A28F0"/>
    <w:rsid w:val="002A65B7"/>
    <w:rsid w:val="002B60F3"/>
    <w:rsid w:val="002C04F2"/>
    <w:rsid w:val="002C158C"/>
    <w:rsid w:val="002C6423"/>
    <w:rsid w:val="002D4DDA"/>
    <w:rsid w:val="002D7793"/>
    <w:rsid w:val="002E0195"/>
    <w:rsid w:val="002E51C9"/>
    <w:rsid w:val="002F282F"/>
    <w:rsid w:val="002F49C2"/>
    <w:rsid w:val="00314FC2"/>
    <w:rsid w:val="00322B00"/>
    <w:rsid w:val="00326D8E"/>
    <w:rsid w:val="00334056"/>
    <w:rsid w:val="00337C62"/>
    <w:rsid w:val="00346BC3"/>
    <w:rsid w:val="0036479B"/>
    <w:rsid w:val="003667A2"/>
    <w:rsid w:val="0037468C"/>
    <w:rsid w:val="0039696D"/>
    <w:rsid w:val="00397B1A"/>
    <w:rsid w:val="003A62ED"/>
    <w:rsid w:val="003B183F"/>
    <w:rsid w:val="003B776C"/>
    <w:rsid w:val="003C0111"/>
    <w:rsid w:val="003C1D98"/>
    <w:rsid w:val="003D19DD"/>
    <w:rsid w:val="003F0A35"/>
    <w:rsid w:val="0040168D"/>
    <w:rsid w:val="004124D0"/>
    <w:rsid w:val="00412D0F"/>
    <w:rsid w:val="00441D1F"/>
    <w:rsid w:val="004537BD"/>
    <w:rsid w:val="00457958"/>
    <w:rsid w:val="004722C0"/>
    <w:rsid w:val="00475DB5"/>
    <w:rsid w:val="004835A5"/>
    <w:rsid w:val="00490766"/>
    <w:rsid w:val="00491AA2"/>
    <w:rsid w:val="00495469"/>
    <w:rsid w:val="004A2310"/>
    <w:rsid w:val="004A297A"/>
    <w:rsid w:val="004D1080"/>
    <w:rsid w:val="004D11F0"/>
    <w:rsid w:val="004D273A"/>
    <w:rsid w:val="004E048F"/>
    <w:rsid w:val="004E2978"/>
    <w:rsid w:val="004E5DC8"/>
    <w:rsid w:val="004E6648"/>
    <w:rsid w:val="004F6D10"/>
    <w:rsid w:val="00501346"/>
    <w:rsid w:val="005018E2"/>
    <w:rsid w:val="00503081"/>
    <w:rsid w:val="0051297B"/>
    <w:rsid w:val="005131DC"/>
    <w:rsid w:val="005162FA"/>
    <w:rsid w:val="00521048"/>
    <w:rsid w:val="00522E15"/>
    <w:rsid w:val="005276C7"/>
    <w:rsid w:val="00560F33"/>
    <w:rsid w:val="00567F70"/>
    <w:rsid w:val="00573A2D"/>
    <w:rsid w:val="00586AC2"/>
    <w:rsid w:val="005901DE"/>
    <w:rsid w:val="005B1C1F"/>
    <w:rsid w:val="005B31D9"/>
    <w:rsid w:val="005C2510"/>
    <w:rsid w:val="005D2799"/>
    <w:rsid w:val="005D57FE"/>
    <w:rsid w:val="005E3809"/>
    <w:rsid w:val="005E6C5E"/>
    <w:rsid w:val="005F45FC"/>
    <w:rsid w:val="005F6600"/>
    <w:rsid w:val="00613C34"/>
    <w:rsid w:val="00644E2E"/>
    <w:rsid w:val="00653EF0"/>
    <w:rsid w:val="006543FE"/>
    <w:rsid w:val="00665605"/>
    <w:rsid w:val="006661E4"/>
    <w:rsid w:val="0068491F"/>
    <w:rsid w:val="0068752A"/>
    <w:rsid w:val="0069228F"/>
    <w:rsid w:val="006960C8"/>
    <w:rsid w:val="006A0626"/>
    <w:rsid w:val="006C43B7"/>
    <w:rsid w:val="006D356D"/>
    <w:rsid w:val="006E45BF"/>
    <w:rsid w:val="007351C6"/>
    <w:rsid w:val="00745CAC"/>
    <w:rsid w:val="00751FB7"/>
    <w:rsid w:val="007D41CA"/>
    <w:rsid w:val="007D550A"/>
    <w:rsid w:val="007F7F48"/>
    <w:rsid w:val="008023EF"/>
    <w:rsid w:val="0081070F"/>
    <w:rsid w:val="0081619A"/>
    <w:rsid w:val="00845D8E"/>
    <w:rsid w:val="00851EFA"/>
    <w:rsid w:val="00874A95"/>
    <w:rsid w:val="0088088B"/>
    <w:rsid w:val="00894D84"/>
    <w:rsid w:val="008A194A"/>
    <w:rsid w:val="008B0BA9"/>
    <w:rsid w:val="008B3F33"/>
    <w:rsid w:val="008D4E41"/>
    <w:rsid w:val="008D79CF"/>
    <w:rsid w:val="008E4DF8"/>
    <w:rsid w:val="008E5716"/>
    <w:rsid w:val="008F3D06"/>
    <w:rsid w:val="008F7065"/>
    <w:rsid w:val="00900709"/>
    <w:rsid w:val="00902A5E"/>
    <w:rsid w:val="00902F1D"/>
    <w:rsid w:val="009149B6"/>
    <w:rsid w:val="009279AC"/>
    <w:rsid w:val="009326C5"/>
    <w:rsid w:val="0093598C"/>
    <w:rsid w:val="009421DE"/>
    <w:rsid w:val="00943EB4"/>
    <w:rsid w:val="0095249D"/>
    <w:rsid w:val="00952527"/>
    <w:rsid w:val="00953077"/>
    <w:rsid w:val="00953138"/>
    <w:rsid w:val="00961B2A"/>
    <w:rsid w:val="00962D85"/>
    <w:rsid w:val="00963B8F"/>
    <w:rsid w:val="009655C8"/>
    <w:rsid w:val="0097575C"/>
    <w:rsid w:val="00980CF8"/>
    <w:rsid w:val="00997770"/>
    <w:rsid w:val="009B0876"/>
    <w:rsid w:val="009B303D"/>
    <w:rsid w:val="009B5865"/>
    <w:rsid w:val="009B7185"/>
    <w:rsid w:val="009E3CE7"/>
    <w:rsid w:val="009F249A"/>
    <w:rsid w:val="009F259E"/>
    <w:rsid w:val="009F265A"/>
    <w:rsid w:val="00A00D39"/>
    <w:rsid w:val="00A036A0"/>
    <w:rsid w:val="00A10634"/>
    <w:rsid w:val="00A14CBE"/>
    <w:rsid w:val="00A16B35"/>
    <w:rsid w:val="00A22A17"/>
    <w:rsid w:val="00A31296"/>
    <w:rsid w:val="00A974EF"/>
    <w:rsid w:val="00AC0F16"/>
    <w:rsid w:val="00AD54DC"/>
    <w:rsid w:val="00AF03BE"/>
    <w:rsid w:val="00AF2253"/>
    <w:rsid w:val="00B05EE7"/>
    <w:rsid w:val="00B10CE9"/>
    <w:rsid w:val="00B2169E"/>
    <w:rsid w:val="00B23489"/>
    <w:rsid w:val="00B3337F"/>
    <w:rsid w:val="00B62848"/>
    <w:rsid w:val="00B70DED"/>
    <w:rsid w:val="00B81753"/>
    <w:rsid w:val="00B8277E"/>
    <w:rsid w:val="00B841B9"/>
    <w:rsid w:val="00B93A6A"/>
    <w:rsid w:val="00BA54BE"/>
    <w:rsid w:val="00BB5C2F"/>
    <w:rsid w:val="00BC375D"/>
    <w:rsid w:val="00BE77E1"/>
    <w:rsid w:val="00BF0A93"/>
    <w:rsid w:val="00C02B2F"/>
    <w:rsid w:val="00C2108F"/>
    <w:rsid w:val="00C255CC"/>
    <w:rsid w:val="00C474E7"/>
    <w:rsid w:val="00C555D5"/>
    <w:rsid w:val="00C747D7"/>
    <w:rsid w:val="00C92A4F"/>
    <w:rsid w:val="00C96E28"/>
    <w:rsid w:val="00C978AB"/>
    <w:rsid w:val="00CA3DF9"/>
    <w:rsid w:val="00CB063D"/>
    <w:rsid w:val="00CB25EB"/>
    <w:rsid w:val="00CC248E"/>
    <w:rsid w:val="00CC4071"/>
    <w:rsid w:val="00CC4BF9"/>
    <w:rsid w:val="00CD082E"/>
    <w:rsid w:val="00CE5C90"/>
    <w:rsid w:val="00CF1213"/>
    <w:rsid w:val="00CF6EF8"/>
    <w:rsid w:val="00D13755"/>
    <w:rsid w:val="00D16145"/>
    <w:rsid w:val="00D24AC3"/>
    <w:rsid w:val="00D26842"/>
    <w:rsid w:val="00D36CF4"/>
    <w:rsid w:val="00D4008A"/>
    <w:rsid w:val="00D44D42"/>
    <w:rsid w:val="00D5034D"/>
    <w:rsid w:val="00D712BC"/>
    <w:rsid w:val="00D73367"/>
    <w:rsid w:val="00DA604C"/>
    <w:rsid w:val="00DA6736"/>
    <w:rsid w:val="00DC4A2B"/>
    <w:rsid w:val="00DC5CA0"/>
    <w:rsid w:val="00DC6B2F"/>
    <w:rsid w:val="00DD0882"/>
    <w:rsid w:val="00DD342C"/>
    <w:rsid w:val="00DE18F0"/>
    <w:rsid w:val="00DE2CEA"/>
    <w:rsid w:val="00DE2EC4"/>
    <w:rsid w:val="00E06853"/>
    <w:rsid w:val="00E1451B"/>
    <w:rsid w:val="00E16459"/>
    <w:rsid w:val="00E26115"/>
    <w:rsid w:val="00E325AF"/>
    <w:rsid w:val="00E44137"/>
    <w:rsid w:val="00E5380F"/>
    <w:rsid w:val="00E63C95"/>
    <w:rsid w:val="00E679D9"/>
    <w:rsid w:val="00E810D3"/>
    <w:rsid w:val="00E90D60"/>
    <w:rsid w:val="00EA4C1F"/>
    <w:rsid w:val="00EB4AE0"/>
    <w:rsid w:val="00EE47E9"/>
    <w:rsid w:val="00EE737D"/>
    <w:rsid w:val="00EF0732"/>
    <w:rsid w:val="00F16DA9"/>
    <w:rsid w:val="00F32C8B"/>
    <w:rsid w:val="00F35B15"/>
    <w:rsid w:val="00F540B2"/>
    <w:rsid w:val="00F57248"/>
    <w:rsid w:val="00F65117"/>
    <w:rsid w:val="00F767CD"/>
    <w:rsid w:val="00F77B59"/>
    <w:rsid w:val="00F82774"/>
    <w:rsid w:val="00F83881"/>
    <w:rsid w:val="00F946B9"/>
    <w:rsid w:val="00F976F6"/>
    <w:rsid w:val="00FB33FC"/>
    <w:rsid w:val="00FC007F"/>
    <w:rsid w:val="00FC0226"/>
    <w:rsid w:val="00FC4E05"/>
    <w:rsid w:val="00FC7241"/>
    <w:rsid w:val="00FD0D4F"/>
    <w:rsid w:val="00FD6052"/>
    <w:rsid w:val="00FE028D"/>
    <w:rsid w:val="00FE0700"/>
    <w:rsid w:val="00FE1F9C"/>
    <w:rsid w:val="00FE7E98"/>
    <w:rsid w:val="0A0D0C80"/>
    <w:rsid w:val="1526F749"/>
    <w:rsid w:val="26407D87"/>
    <w:rsid w:val="32209D49"/>
    <w:rsid w:val="33B5D326"/>
    <w:rsid w:val="3CA30785"/>
    <w:rsid w:val="3D56BA8C"/>
    <w:rsid w:val="4A15908A"/>
    <w:rsid w:val="4CB6DFE0"/>
    <w:rsid w:val="4FE9442D"/>
    <w:rsid w:val="5841C648"/>
    <w:rsid w:val="58DDA56B"/>
    <w:rsid w:val="5FDE8F82"/>
    <w:rsid w:val="6732BD71"/>
    <w:rsid w:val="6C2C2A9E"/>
    <w:rsid w:val="75950959"/>
    <w:rsid w:val="7DCD8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8295"/>
  <w15:chartTrackingRefBased/>
  <w15:docId w15:val="{935DBD0E-DBF7-40F9-BDB5-58BD86BF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2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605"/>
    <w:rPr>
      <w:color w:val="0563C1" w:themeColor="hyperlink"/>
      <w:u w:val="single"/>
    </w:rPr>
  </w:style>
  <w:style w:type="character" w:customStyle="1" w:styleId="UnresolvedMention">
    <w:name w:val="Unresolved Mention"/>
    <w:basedOn w:val="DefaultParagraphFont"/>
    <w:uiPriority w:val="99"/>
    <w:semiHidden/>
    <w:unhideWhenUsed/>
    <w:rsid w:val="00665605"/>
    <w:rPr>
      <w:color w:val="605E5C"/>
      <w:shd w:val="clear" w:color="auto" w:fill="E1DFDD"/>
    </w:rPr>
  </w:style>
  <w:style w:type="character" w:styleId="CommentReference">
    <w:name w:val="annotation reference"/>
    <w:basedOn w:val="DefaultParagraphFont"/>
    <w:uiPriority w:val="99"/>
    <w:semiHidden/>
    <w:unhideWhenUsed/>
    <w:rsid w:val="00665605"/>
    <w:rPr>
      <w:sz w:val="16"/>
      <w:szCs w:val="16"/>
    </w:rPr>
  </w:style>
  <w:style w:type="paragraph" w:styleId="CommentText">
    <w:name w:val="annotation text"/>
    <w:basedOn w:val="Normal"/>
    <w:link w:val="CommentTextChar"/>
    <w:uiPriority w:val="99"/>
    <w:semiHidden/>
    <w:unhideWhenUsed/>
    <w:rsid w:val="00665605"/>
    <w:pPr>
      <w:spacing w:line="240" w:lineRule="auto"/>
    </w:pPr>
    <w:rPr>
      <w:sz w:val="20"/>
      <w:szCs w:val="20"/>
    </w:rPr>
  </w:style>
  <w:style w:type="character" w:customStyle="1" w:styleId="CommentTextChar">
    <w:name w:val="Comment Text Char"/>
    <w:basedOn w:val="DefaultParagraphFont"/>
    <w:link w:val="CommentText"/>
    <w:uiPriority w:val="99"/>
    <w:semiHidden/>
    <w:rsid w:val="00665605"/>
    <w:rPr>
      <w:sz w:val="20"/>
      <w:szCs w:val="20"/>
    </w:rPr>
  </w:style>
  <w:style w:type="paragraph" w:styleId="CommentSubject">
    <w:name w:val="annotation subject"/>
    <w:basedOn w:val="CommentText"/>
    <w:next w:val="CommentText"/>
    <w:link w:val="CommentSubjectChar"/>
    <w:uiPriority w:val="99"/>
    <w:semiHidden/>
    <w:unhideWhenUsed/>
    <w:rsid w:val="00665605"/>
    <w:rPr>
      <w:b/>
      <w:bCs/>
    </w:rPr>
  </w:style>
  <w:style w:type="character" w:customStyle="1" w:styleId="CommentSubjectChar">
    <w:name w:val="Comment Subject Char"/>
    <w:basedOn w:val="CommentTextChar"/>
    <w:link w:val="CommentSubject"/>
    <w:uiPriority w:val="99"/>
    <w:semiHidden/>
    <w:rsid w:val="00665605"/>
    <w:rPr>
      <w:b/>
      <w:bCs/>
      <w:sz w:val="20"/>
      <w:szCs w:val="20"/>
    </w:rPr>
  </w:style>
  <w:style w:type="paragraph" w:styleId="ListParagraph">
    <w:name w:val="List Paragraph"/>
    <w:basedOn w:val="Normal"/>
    <w:uiPriority w:val="34"/>
    <w:qFormat/>
    <w:rsid w:val="00326D8E"/>
    <w:pPr>
      <w:ind w:left="720"/>
      <w:contextualSpacing/>
    </w:pPr>
  </w:style>
  <w:style w:type="character" w:customStyle="1" w:styleId="Heading1Char">
    <w:name w:val="Heading 1 Char"/>
    <w:basedOn w:val="DefaultParagraphFont"/>
    <w:link w:val="Heading1"/>
    <w:uiPriority w:val="9"/>
    <w:rsid w:val="00AF22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225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0168D"/>
    <w:pPr>
      <w:outlineLvl w:val="9"/>
    </w:pPr>
  </w:style>
  <w:style w:type="paragraph" w:styleId="TOC2">
    <w:name w:val="toc 2"/>
    <w:basedOn w:val="Normal"/>
    <w:next w:val="Normal"/>
    <w:autoRedefine/>
    <w:uiPriority w:val="39"/>
    <w:unhideWhenUsed/>
    <w:rsid w:val="004016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6736">
      <w:bodyDiv w:val="1"/>
      <w:marLeft w:val="0"/>
      <w:marRight w:val="0"/>
      <w:marTop w:val="0"/>
      <w:marBottom w:val="0"/>
      <w:divBdr>
        <w:top w:val="none" w:sz="0" w:space="0" w:color="auto"/>
        <w:left w:val="none" w:sz="0" w:space="0" w:color="auto"/>
        <w:bottom w:val="none" w:sz="0" w:space="0" w:color="auto"/>
        <w:right w:val="none" w:sz="0" w:space="0" w:color="auto"/>
      </w:divBdr>
    </w:div>
    <w:div w:id="200484260">
      <w:bodyDiv w:val="1"/>
      <w:marLeft w:val="0"/>
      <w:marRight w:val="0"/>
      <w:marTop w:val="0"/>
      <w:marBottom w:val="0"/>
      <w:divBdr>
        <w:top w:val="none" w:sz="0" w:space="0" w:color="auto"/>
        <w:left w:val="none" w:sz="0" w:space="0" w:color="auto"/>
        <w:bottom w:val="none" w:sz="0" w:space="0" w:color="auto"/>
        <w:right w:val="none" w:sz="0" w:space="0" w:color="auto"/>
      </w:divBdr>
    </w:div>
    <w:div w:id="1865555164">
      <w:bodyDiv w:val="1"/>
      <w:marLeft w:val="0"/>
      <w:marRight w:val="0"/>
      <w:marTop w:val="0"/>
      <w:marBottom w:val="0"/>
      <w:divBdr>
        <w:top w:val="none" w:sz="0" w:space="0" w:color="auto"/>
        <w:left w:val="none" w:sz="0" w:space="0" w:color="auto"/>
        <w:bottom w:val="none" w:sz="0" w:space="0" w:color="auto"/>
        <w:right w:val="none" w:sz="0" w:space="0" w:color="auto"/>
      </w:divBdr>
    </w:div>
    <w:div w:id="20719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mmb/assets/fba-nov17fcst-summary_tcm1059-319763.pdf" TargetMode="External"/><Relationship Id="rId18" Type="http://schemas.openxmlformats.org/officeDocument/2006/relationships/hyperlink" Target="https://mn.gov/mmb-stat/documents/budget/operating-budget/gov-rec/mar21/LCRC3-9_MDE-EnrollmentLos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gov/mmb-stat/000/az/forecast/2021/budget-and-economic-forecast/november-2021-forecast.pdf" TargetMode="External"/><Relationship Id="rId17" Type="http://schemas.openxmlformats.org/officeDocument/2006/relationships/hyperlink" Target="https://mn.gov/mmb-stat/documents/budget/operating-budget/gov-rec/mar21/LCRC3-6_OHE-WorkforceStabilization.pdf" TargetMode="External"/><Relationship Id="rId2" Type="http://schemas.openxmlformats.org/officeDocument/2006/relationships/customXml" Target="../customXml/item2.xml"/><Relationship Id="rId16" Type="http://schemas.openxmlformats.org/officeDocument/2006/relationships/hyperlink" Target="https://mn.gov/mmb-stat/documents/budget/operating-budget/gov-rec/mar21/american-rescue-plan-act-sfrf-1-5-18-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mmb-stat/000/az/forecast/2021/budget-and-economic-forecast/february-2021-forecast.pdf" TargetMode="External"/><Relationship Id="rId5" Type="http://schemas.openxmlformats.org/officeDocument/2006/relationships/numbering" Target="numbering.xml"/><Relationship Id="rId15" Type="http://schemas.openxmlformats.org/officeDocument/2006/relationships/hyperlink" Target="https://mn.gov/mmb-stat/documents/budget/operating-budget/forecast/nov-2021/nov21fcst-fba-summary.pdf" TargetMode="External"/><Relationship Id="rId10" Type="http://schemas.openxmlformats.org/officeDocument/2006/relationships/hyperlink" Target="https://mn.gov/mmb-stat/000/az/forecast/2020/budget-and-economic-forecast/november-2020-forecast.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n.gov/mmb-stat/budget/may-interim-budget-projection-document.pdf" TargetMode="External"/><Relationship Id="rId14" Type="http://schemas.openxmlformats.org/officeDocument/2006/relationships/hyperlink" Target="https://mn.gov/mmb-stat/documents/budget/operating-budget/nov19fcst/nov19fcst-fba-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8" ma:contentTypeDescription="Create a new document." ma:contentTypeScope="" ma:versionID="1e4d7931970b2d9947f1bb5f7c0f9f9f">
  <xsd:schema xmlns:xsd="http://www.w3.org/2001/XMLSchema" xmlns:xs="http://www.w3.org/2001/XMLSchema" xmlns:p="http://schemas.microsoft.com/office/2006/metadata/properties" xmlns:ns2="df1db236-f4ed-46d7-a734-34aadf213676" xmlns:ns3="df7176e6-ff46-46f8-8b8f-d830a43c7201" targetNamespace="http://schemas.microsoft.com/office/2006/metadata/properties" ma:root="true" ma:fieldsID="39db6b53d99ec96a57be60c311405566" ns2:_="" ns3:_="">
    <xsd:import namespace="df1db236-f4ed-46d7-a734-34aadf213676"/>
    <xsd:import namespace="df7176e6-ff46-46f8-8b8f-d830a43c7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176e6-ff46-46f8-8b8f-d830a43c7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35D9-80E4-4AE2-923E-00435C05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df7176e6-ff46-46f8-8b8f-d830a43c7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3DAB-D72C-464D-8C6D-56167FA55C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7176e6-ff46-46f8-8b8f-d830a43c7201"/>
    <ds:schemaRef ds:uri="http://purl.org/dc/elements/1.1/"/>
    <ds:schemaRef ds:uri="http://schemas.microsoft.com/office/2006/metadata/properties"/>
    <ds:schemaRef ds:uri="df1db236-f4ed-46d7-a734-34aadf213676"/>
    <ds:schemaRef ds:uri="http://www.w3.org/XML/1998/namespace"/>
    <ds:schemaRef ds:uri="http://purl.org/dc/dcmitype/"/>
  </ds:schemaRefs>
</ds:datastoreItem>
</file>

<file path=customXml/itemProps3.xml><?xml version="1.0" encoding="utf-8"?>
<ds:datastoreItem xmlns:ds="http://schemas.openxmlformats.org/officeDocument/2006/customXml" ds:itemID="{D106495F-2B69-4146-AD7A-F00C881E9DC5}">
  <ds:schemaRefs>
    <ds:schemaRef ds:uri="http://schemas.microsoft.com/sharepoint/v3/contenttype/forms"/>
  </ds:schemaRefs>
</ds:datastoreItem>
</file>

<file path=customXml/itemProps4.xml><?xml version="1.0" encoding="utf-8"?>
<ds:datastoreItem xmlns:ds="http://schemas.openxmlformats.org/officeDocument/2006/customXml" ds:itemID="{518D2B85-6FE3-4435-A391-A096B616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Schnobrich, Jeffrey (MMB)</dc:creator>
  <cp:keywords/>
  <dc:description/>
  <cp:lastModifiedBy>Prahl, Andre (MDE)</cp:lastModifiedBy>
  <cp:revision>2</cp:revision>
  <dcterms:created xsi:type="dcterms:W3CDTF">2021-12-23T18:25:00Z</dcterms:created>
  <dcterms:modified xsi:type="dcterms:W3CDTF">2021-12-23T18:25:00Z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0x010100832966C2BD65E54BBBE133EDCB429956</vt:lpwstr>
  </property>
</Properties>
</file>