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0E2F" w14:textId="77777777" w:rsidR="001D6A07" w:rsidRDefault="001D6A07" w:rsidP="001D6A07">
      <w:pPr>
        <w:pStyle w:val="Bryan"/>
        <w:spacing w:line="228" w:lineRule="auto"/>
        <w:ind w:left="-630" w:right="-634"/>
        <w:jc w:val="center"/>
        <w:rPr>
          <w:rFonts w:asciiTheme="minorHAnsi" w:hAnsiTheme="minorHAnsi" w:cstheme="minorHAnsi"/>
          <w:spacing w:val="-2"/>
          <w:sz w:val="22"/>
          <w:szCs w:val="22"/>
        </w:rPr>
      </w:pPr>
      <w:r w:rsidRPr="0074641D">
        <w:rPr>
          <w:rFonts w:asciiTheme="minorHAnsi" w:hAnsiTheme="minorHAnsi" w:cstheme="minorHAnsi"/>
          <w:spacing w:val="-2"/>
          <w:sz w:val="22"/>
          <w:szCs w:val="22"/>
        </w:rPr>
        <w:t>In the matter of</w:t>
      </w:r>
    </w:p>
    <w:p w14:paraId="2387F838" w14:textId="77777777" w:rsidR="001D6A07" w:rsidRDefault="001D6A07" w:rsidP="001D6A07">
      <w:pPr>
        <w:pStyle w:val="Bryan"/>
        <w:spacing w:line="228" w:lineRule="auto"/>
        <w:ind w:left="-630" w:right="-634"/>
        <w:jc w:val="center"/>
        <w:rPr>
          <w:rFonts w:asciiTheme="minorHAnsi" w:hAnsiTheme="minorHAnsi" w:cstheme="minorHAnsi"/>
          <w:spacing w:val="-2"/>
          <w:sz w:val="22"/>
          <w:szCs w:val="22"/>
        </w:rPr>
      </w:pPr>
    </w:p>
    <w:p w14:paraId="324A3956" w14:textId="77777777" w:rsidR="001D6A07" w:rsidRDefault="001D6A07" w:rsidP="001D6A07">
      <w:pPr>
        <w:pStyle w:val="Bryan"/>
        <w:spacing w:line="228" w:lineRule="auto"/>
        <w:ind w:left="-630" w:right="-634"/>
        <w:jc w:val="center"/>
        <w:rPr>
          <w:rFonts w:asciiTheme="minorHAnsi" w:hAnsiTheme="minorHAnsi" w:cstheme="minorHAnsi"/>
          <w:b/>
          <w:spacing w:val="-2"/>
          <w:sz w:val="22"/>
          <w:szCs w:val="22"/>
        </w:rPr>
      </w:pPr>
      <w:r w:rsidRPr="0074641D">
        <w:rPr>
          <w:rFonts w:asciiTheme="minorHAnsi" w:hAnsiTheme="minorHAnsi" w:cstheme="minorHAnsi"/>
          <w:b/>
          <w:spacing w:val="-2"/>
          <w:sz w:val="22"/>
          <w:szCs w:val="22"/>
        </w:rPr>
        <w:t xml:space="preserve">[name of </w:t>
      </w:r>
      <w:r>
        <w:rPr>
          <w:rFonts w:asciiTheme="minorHAnsi" w:hAnsiTheme="minorHAnsi" w:cstheme="minorHAnsi"/>
          <w:b/>
          <w:spacing w:val="-2"/>
          <w:sz w:val="22"/>
          <w:szCs w:val="22"/>
        </w:rPr>
        <w:t>p</w:t>
      </w:r>
      <w:r w:rsidRPr="0074641D">
        <w:rPr>
          <w:rFonts w:asciiTheme="minorHAnsi" w:hAnsiTheme="minorHAnsi" w:cstheme="minorHAnsi"/>
          <w:b/>
          <w:spacing w:val="-2"/>
          <w:sz w:val="22"/>
          <w:szCs w:val="22"/>
        </w:rPr>
        <w:t xml:space="preserve">rivate </w:t>
      </w:r>
      <w:r>
        <w:rPr>
          <w:rFonts w:asciiTheme="minorHAnsi" w:hAnsiTheme="minorHAnsi" w:cstheme="minorHAnsi"/>
          <w:b/>
          <w:spacing w:val="-2"/>
          <w:sz w:val="22"/>
          <w:szCs w:val="22"/>
        </w:rPr>
        <w:t>s</w:t>
      </w:r>
      <w:r w:rsidRPr="0074641D">
        <w:rPr>
          <w:rFonts w:asciiTheme="minorHAnsi" w:hAnsiTheme="minorHAnsi" w:cstheme="minorHAnsi"/>
          <w:b/>
          <w:spacing w:val="-2"/>
          <w:sz w:val="22"/>
          <w:szCs w:val="22"/>
        </w:rPr>
        <w:t>chool]</w:t>
      </w:r>
    </w:p>
    <w:p w14:paraId="64866C89" w14:textId="77777777" w:rsidR="001D6A07" w:rsidRDefault="001D6A07" w:rsidP="001D6A07">
      <w:pPr>
        <w:pStyle w:val="Bryan"/>
        <w:spacing w:line="228" w:lineRule="auto"/>
        <w:ind w:left="-630" w:right="-634"/>
        <w:jc w:val="center"/>
        <w:rPr>
          <w:rFonts w:asciiTheme="minorHAnsi" w:hAnsiTheme="minorHAnsi" w:cstheme="minorHAnsi"/>
          <w:b/>
          <w:spacing w:val="-2"/>
          <w:sz w:val="22"/>
          <w:szCs w:val="22"/>
        </w:rPr>
      </w:pPr>
      <w:r>
        <w:rPr>
          <w:rFonts w:asciiTheme="minorHAnsi" w:hAnsiTheme="minorHAnsi" w:cstheme="minorHAnsi"/>
          <w:b/>
          <w:spacing w:val="-2"/>
          <w:sz w:val="22"/>
          <w:szCs w:val="22"/>
        </w:rPr>
        <w:t>vs.</w:t>
      </w:r>
    </w:p>
    <w:p w14:paraId="13FEAAE0" w14:textId="77777777" w:rsidR="001D6A07" w:rsidRDefault="001D6A07" w:rsidP="00153D26">
      <w:pPr>
        <w:pStyle w:val="Bryan"/>
        <w:tabs>
          <w:tab w:val="left" w:pos="2055"/>
          <w:tab w:val="center" w:pos="4682"/>
        </w:tabs>
        <w:spacing w:line="228" w:lineRule="auto"/>
        <w:ind w:left="-630" w:right="-634"/>
        <w:jc w:val="center"/>
        <w:rPr>
          <w:rFonts w:asciiTheme="minorHAnsi" w:hAnsiTheme="minorHAnsi" w:cstheme="minorHAnsi"/>
          <w:b/>
          <w:spacing w:val="-2"/>
          <w:sz w:val="22"/>
          <w:szCs w:val="22"/>
        </w:rPr>
      </w:pPr>
      <w:r>
        <w:rPr>
          <w:rFonts w:asciiTheme="minorHAnsi" w:hAnsiTheme="minorHAnsi" w:cstheme="minorHAnsi"/>
          <w:b/>
          <w:spacing w:val="-2"/>
          <w:sz w:val="22"/>
          <w:szCs w:val="22"/>
        </w:rPr>
        <w:t>[</w:t>
      </w:r>
      <w:r w:rsidRPr="0074641D">
        <w:rPr>
          <w:rFonts w:asciiTheme="minorHAnsi" w:hAnsiTheme="minorHAnsi" w:cstheme="minorHAnsi"/>
          <w:b/>
          <w:spacing w:val="-2"/>
          <w:sz w:val="22"/>
          <w:szCs w:val="22"/>
        </w:rPr>
        <w:t xml:space="preserve">name of </w:t>
      </w:r>
      <w:r>
        <w:rPr>
          <w:rFonts w:asciiTheme="minorHAnsi" w:hAnsiTheme="minorHAnsi" w:cstheme="minorHAnsi"/>
          <w:b/>
          <w:spacing w:val="-2"/>
          <w:sz w:val="22"/>
          <w:szCs w:val="22"/>
        </w:rPr>
        <w:t>LEA public school district</w:t>
      </w:r>
      <w:r w:rsidRPr="0074641D">
        <w:rPr>
          <w:rFonts w:asciiTheme="minorHAnsi" w:hAnsiTheme="minorHAnsi" w:cstheme="minorHAnsi"/>
          <w:b/>
          <w:spacing w:val="-2"/>
          <w:sz w:val="22"/>
          <w:szCs w:val="22"/>
        </w:rPr>
        <w:t>]</w:t>
      </w:r>
    </w:p>
    <w:p w14:paraId="2BEE0474" w14:textId="77777777" w:rsidR="001D6A07" w:rsidRPr="0074641D" w:rsidRDefault="001D6A07" w:rsidP="001D6A07">
      <w:pPr>
        <w:pStyle w:val="Bryan"/>
        <w:spacing w:line="228" w:lineRule="auto"/>
        <w:ind w:left="-630" w:right="-634"/>
        <w:jc w:val="center"/>
        <w:rPr>
          <w:rFonts w:asciiTheme="minorHAnsi" w:hAnsiTheme="minorHAnsi" w:cstheme="minorHAnsi"/>
          <w:b/>
          <w:spacing w:val="-2"/>
          <w:sz w:val="22"/>
          <w:szCs w:val="22"/>
        </w:rPr>
      </w:pPr>
    </w:p>
    <w:p w14:paraId="652DAF01" w14:textId="77777777" w:rsidR="00397F73" w:rsidRPr="0074641D" w:rsidRDefault="001D6A07" w:rsidP="001D6A07">
      <w:pPr>
        <w:pStyle w:val="Bryan"/>
        <w:spacing w:line="228" w:lineRule="auto"/>
        <w:ind w:left="-634" w:right="-634"/>
        <w:jc w:val="center"/>
        <w:rPr>
          <w:rFonts w:asciiTheme="minorHAnsi" w:hAnsiTheme="minorHAnsi" w:cstheme="minorHAnsi"/>
          <w:spacing w:val="-2"/>
          <w:sz w:val="22"/>
          <w:szCs w:val="22"/>
        </w:rPr>
      </w:pPr>
      <w:r w:rsidRPr="0074641D">
        <w:rPr>
          <w:rFonts w:asciiTheme="minorHAnsi" w:hAnsiTheme="minorHAnsi" w:cstheme="minorHAnsi"/>
          <w:spacing w:val="-2"/>
          <w:sz w:val="22"/>
          <w:szCs w:val="22"/>
        </w:rPr>
        <w:t>Case Number: _</w:t>
      </w:r>
      <w:r w:rsidRPr="0074641D">
        <w:rPr>
          <w:rFonts w:asciiTheme="minorHAnsi" w:hAnsiTheme="minorHAnsi" w:cstheme="minorHAnsi"/>
          <w:spacing w:val="-2"/>
          <w:sz w:val="22"/>
          <w:szCs w:val="22"/>
          <w:u w:val="single"/>
        </w:rPr>
        <w:t xml:space="preserve"> </w:t>
      </w:r>
      <w:r w:rsidRPr="0074641D">
        <w:rPr>
          <w:rFonts w:asciiTheme="minorHAnsi" w:hAnsiTheme="minorHAnsi" w:cstheme="minorHAnsi"/>
          <w:spacing w:val="-2"/>
          <w:sz w:val="22"/>
          <w:szCs w:val="22"/>
        </w:rPr>
        <w:t>_- (</w:t>
      </w:r>
      <w:r w:rsidRPr="0074641D">
        <w:rPr>
          <w:rFonts w:asciiTheme="minorHAnsi" w:hAnsiTheme="minorHAnsi" w:cstheme="minorHAnsi"/>
          <w:spacing w:val="-2"/>
          <w:sz w:val="22"/>
          <w:szCs w:val="22"/>
          <w:u w:val="single"/>
        </w:rPr>
        <w:t>20xx-xx)</w:t>
      </w:r>
    </w:p>
    <w:p w14:paraId="249FA38A" w14:textId="77777777" w:rsidR="00397F73" w:rsidRPr="0074641D" w:rsidRDefault="00397F73" w:rsidP="00E422D5">
      <w:pPr>
        <w:pStyle w:val="Bryan"/>
        <w:spacing w:line="228" w:lineRule="auto"/>
        <w:ind w:left="-634" w:right="-634"/>
        <w:rPr>
          <w:rFonts w:asciiTheme="minorHAnsi" w:hAnsiTheme="minorHAnsi" w:cstheme="minorHAnsi"/>
          <w:spacing w:val="-2"/>
          <w:sz w:val="22"/>
          <w:szCs w:val="22"/>
        </w:rPr>
      </w:pPr>
    </w:p>
    <w:p w14:paraId="1B51A75F" w14:textId="5FDF805C" w:rsidR="001E2372" w:rsidRPr="0074641D" w:rsidRDefault="00E93FEC" w:rsidP="00E422D5">
      <w:pPr>
        <w:pStyle w:val="Bryan"/>
        <w:spacing w:line="228" w:lineRule="auto"/>
        <w:ind w:left="-634" w:right="-634"/>
        <w:jc w:val="both"/>
        <w:rPr>
          <w:rFonts w:asciiTheme="minorHAnsi" w:hAnsiTheme="minorHAnsi" w:cstheme="minorHAnsi"/>
          <w:i/>
          <w:spacing w:val="-2"/>
          <w:sz w:val="22"/>
          <w:szCs w:val="22"/>
        </w:rPr>
      </w:pPr>
      <w:r>
        <w:rPr>
          <w:rFonts w:asciiTheme="minorHAnsi" w:hAnsiTheme="minorHAnsi" w:cstheme="minorHAnsi"/>
          <w:spacing w:val="-2"/>
          <w:sz w:val="22"/>
          <w:szCs w:val="22"/>
        </w:rPr>
        <w:t xml:space="preserve">As authorized </w:t>
      </w:r>
      <w:r w:rsidRPr="00DF02D5">
        <w:rPr>
          <w:rFonts w:asciiTheme="minorHAnsi" w:hAnsiTheme="minorHAnsi" w:cstheme="minorHAnsi"/>
          <w:spacing w:val="-2"/>
          <w:sz w:val="22"/>
          <w:szCs w:val="22"/>
        </w:rPr>
        <w:t>by sections 1117(b)(6) and/or 8501(c)(6) of</w:t>
      </w:r>
      <w:r w:rsidRPr="00AF3742">
        <w:rPr>
          <w:rFonts w:asciiTheme="minorHAnsi" w:hAnsiTheme="minorHAnsi" w:cstheme="minorHAnsi"/>
          <w:spacing w:val="-2"/>
          <w:sz w:val="22"/>
          <w:szCs w:val="22"/>
        </w:rPr>
        <w:t xml:space="preserve"> the </w:t>
      </w:r>
      <w:r w:rsidRPr="00AF3742">
        <w:rPr>
          <w:rFonts w:asciiTheme="minorHAnsi" w:hAnsiTheme="minorHAnsi" w:cstheme="minorHAnsi"/>
          <w:i/>
          <w:spacing w:val="-2"/>
          <w:sz w:val="22"/>
          <w:szCs w:val="22"/>
        </w:rPr>
        <w:t xml:space="preserve">Elementary and Secondary Education Act of 1965 </w:t>
      </w:r>
      <w:r>
        <w:rPr>
          <w:rFonts w:asciiTheme="minorHAnsi" w:hAnsiTheme="minorHAnsi" w:cstheme="minorHAnsi"/>
          <w:i/>
          <w:spacing w:val="-2"/>
          <w:sz w:val="22"/>
          <w:szCs w:val="22"/>
        </w:rPr>
        <w:t xml:space="preserve">(ESEA) </w:t>
      </w:r>
      <w:r w:rsidRPr="00AF3742">
        <w:rPr>
          <w:rFonts w:asciiTheme="minorHAnsi" w:hAnsiTheme="minorHAnsi" w:cstheme="minorHAnsi"/>
          <w:spacing w:val="-2"/>
          <w:sz w:val="22"/>
          <w:szCs w:val="22"/>
        </w:rPr>
        <w:t xml:space="preserve">as amended by the </w:t>
      </w:r>
      <w:r w:rsidRPr="00AF3742">
        <w:rPr>
          <w:rFonts w:asciiTheme="minorHAnsi" w:hAnsiTheme="minorHAnsi" w:cstheme="minorHAnsi"/>
          <w:i/>
          <w:spacing w:val="-2"/>
          <w:sz w:val="22"/>
          <w:szCs w:val="22"/>
        </w:rPr>
        <w:t xml:space="preserve">Every Student Succeeds Act of </w:t>
      </w:r>
      <w:r w:rsidRPr="00447366">
        <w:rPr>
          <w:rFonts w:asciiTheme="minorHAnsi" w:hAnsiTheme="minorHAnsi" w:cstheme="minorHAnsi"/>
          <w:i/>
          <w:spacing w:val="-2"/>
          <w:sz w:val="22"/>
          <w:szCs w:val="22"/>
        </w:rPr>
        <w:t xml:space="preserve">2015, </w:t>
      </w:r>
      <w:r w:rsidRPr="00447366">
        <w:rPr>
          <w:rFonts w:asciiTheme="minorHAnsi" w:hAnsiTheme="minorHAnsi" w:cstheme="minorHAnsi"/>
          <w:spacing w:val="-2"/>
          <w:sz w:val="22"/>
          <w:szCs w:val="22"/>
        </w:rPr>
        <w:t>the Mississippi Administrative Code 7-3:80.4</w:t>
      </w:r>
      <w:r>
        <w:rPr>
          <w:rFonts w:asciiTheme="minorHAnsi" w:hAnsiTheme="minorHAnsi" w:cstheme="minorHAnsi"/>
          <w:spacing w:val="-2"/>
          <w:sz w:val="22"/>
          <w:szCs w:val="22"/>
        </w:rPr>
        <w:t>,</w:t>
      </w:r>
      <w:r w:rsidRPr="00447366">
        <w:rPr>
          <w:rFonts w:asciiTheme="minorHAnsi" w:hAnsiTheme="minorHAnsi" w:cstheme="minorHAnsi"/>
          <w:spacing w:val="-2"/>
          <w:sz w:val="22"/>
          <w:szCs w:val="22"/>
        </w:rPr>
        <w:t xml:space="preserve"> and the Mississippi Department of Education’s </w:t>
      </w:r>
      <w:r w:rsidRPr="00447366">
        <w:rPr>
          <w:rFonts w:asciiTheme="minorHAnsi" w:hAnsiTheme="minorHAnsi" w:cstheme="minorHAnsi"/>
          <w:i/>
          <w:spacing w:val="-2"/>
          <w:sz w:val="22"/>
          <w:szCs w:val="22"/>
        </w:rPr>
        <w:t>Every Student Succeeds Act: Equitable Services Dispute Resolution Procedure</w:t>
      </w:r>
      <w:r w:rsidRPr="007D25E9">
        <w:rPr>
          <w:rFonts w:asciiTheme="minorHAnsi" w:hAnsiTheme="minorHAnsi" w:cstheme="minorHAnsi"/>
          <w:spacing w:val="-2"/>
          <w:sz w:val="22"/>
          <w:szCs w:val="22"/>
        </w:rPr>
        <w:t>,</w:t>
      </w:r>
      <w:r w:rsidR="00167F27">
        <w:rPr>
          <w:rFonts w:asciiTheme="minorHAnsi" w:hAnsiTheme="minorHAnsi" w:cstheme="minorHAnsi"/>
          <w:spacing w:val="-2"/>
          <w:sz w:val="22"/>
          <w:szCs w:val="22"/>
        </w:rPr>
        <w:t xml:space="preserve"> </w:t>
      </w:r>
      <w:r w:rsidR="00AD74EC" w:rsidRPr="0074641D">
        <w:rPr>
          <w:rFonts w:asciiTheme="minorHAnsi" w:hAnsiTheme="minorHAnsi" w:cstheme="minorHAnsi"/>
          <w:spacing w:val="-2"/>
          <w:sz w:val="22"/>
          <w:szCs w:val="22"/>
        </w:rPr>
        <w:t>a</w:t>
      </w:r>
      <w:r w:rsidR="009D4049" w:rsidRPr="0074641D">
        <w:rPr>
          <w:rFonts w:asciiTheme="minorHAnsi" w:hAnsiTheme="minorHAnsi" w:cstheme="minorHAnsi"/>
          <w:spacing w:val="-2"/>
          <w:sz w:val="22"/>
          <w:szCs w:val="22"/>
        </w:rPr>
        <w:t xml:space="preserve">n </w:t>
      </w:r>
      <w:r w:rsidR="009D4049" w:rsidRPr="00E06645">
        <w:rPr>
          <w:rFonts w:asciiTheme="minorHAnsi" w:hAnsiTheme="minorHAnsi" w:cstheme="minorHAnsi"/>
          <w:b/>
          <w:spacing w:val="-2"/>
          <w:sz w:val="22"/>
          <w:szCs w:val="22"/>
        </w:rPr>
        <w:t>Enforcement Hearing</w:t>
      </w:r>
      <w:r w:rsidR="009D4049" w:rsidRPr="0074641D">
        <w:rPr>
          <w:rFonts w:asciiTheme="minorHAnsi" w:hAnsiTheme="minorHAnsi" w:cstheme="minorHAnsi"/>
          <w:spacing w:val="-2"/>
          <w:sz w:val="22"/>
          <w:szCs w:val="22"/>
        </w:rPr>
        <w:t xml:space="preserve"> has been requested </w:t>
      </w:r>
      <w:r w:rsidR="002C131E" w:rsidRPr="0074641D">
        <w:rPr>
          <w:rFonts w:asciiTheme="minorHAnsi" w:hAnsiTheme="minorHAnsi" w:cstheme="minorHAnsi"/>
          <w:spacing w:val="-2"/>
          <w:sz w:val="22"/>
          <w:szCs w:val="22"/>
        </w:rPr>
        <w:t xml:space="preserve">in the </w:t>
      </w:r>
      <w:r w:rsidR="00397F73" w:rsidRPr="0074641D">
        <w:rPr>
          <w:rFonts w:asciiTheme="minorHAnsi" w:hAnsiTheme="minorHAnsi" w:cstheme="minorHAnsi"/>
          <w:spacing w:val="-2"/>
          <w:sz w:val="22"/>
          <w:szCs w:val="22"/>
        </w:rPr>
        <w:t xml:space="preserve">above-styled </w:t>
      </w:r>
      <w:r w:rsidR="002C131E" w:rsidRPr="0074641D">
        <w:rPr>
          <w:rFonts w:asciiTheme="minorHAnsi" w:hAnsiTheme="minorHAnsi" w:cstheme="minorHAnsi"/>
          <w:spacing w:val="-2"/>
          <w:sz w:val="22"/>
          <w:szCs w:val="22"/>
        </w:rPr>
        <w:t>matter</w:t>
      </w:r>
      <w:r w:rsidR="00397F73" w:rsidRPr="0074641D">
        <w:rPr>
          <w:rFonts w:asciiTheme="minorHAnsi" w:hAnsiTheme="minorHAnsi" w:cstheme="minorHAnsi"/>
          <w:spacing w:val="-2"/>
          <w:sz w:val="22"/>
          <w:szCs w:val="22"/>
        </w:rPr>
        <w:t xml:space="preserve"> to </w:t>
      </w:r>
      <w:r w:rsidR="002727AB" w:rsidRPr="0074641D">
        <w:rPr>
          <w:rFonts w:asciiTheme="minorHAnsi" w:hAnsiTheme="minorHAnsi" w:cstheme="minorHAnsi"/>
          <w:spacing w:val="-2"/>
          <w:sz w:val="22"/>
          <w:szCs w:val="22"/>
        </w:rPr>
        <w:t>resolve</w:t>
      </w:r>
      <w:r w:rsidR="00397F73" w:rsidRPr="0074641D">
        <w:rPr>
          <w:rFonts w:asciiTheme="minorHAnsi" w:hAnsiTheme="minorHAnsi" w:cstheme="minorHAnsi"/>
          <w:spacing w:val="-2"/>
          <w:sz w:val="22"/>
          <w:szCs w:val="22"/>
        </w:rPr>
        <w:t xml:space="preserve"> one or more disputes</w:t>
      </w:r>
      <w:r w:rsidR="002C131E" w:rsidRPr="0074641D">
        <w:rPr>
          <w:rFonts w:asciiTheme="minorHAnsi" w:hAnsiTheme="minorHAnsi" w:cstheme="minorHAnsi"/>
          <w:spacing w:val="-2"/>
          <w:sz w:val="22"/>
          <w:szCs w:val="22"/>
        </w:rPr>
        <w:t xml:space="preserve"> between the parties regarding the equitable services requirements of </w:t>
      </w:r>
      <w:r w:rsidR="00167F27">
        <w:rPr>
          <w:rFonts w:asciiTheme="minorHAnsi" w:hAnsiTheme="minorHAnsi" w:cstheme="minorHAnsi"/>
          <w:i/>
          <w:spacing w:val="-2"/>
          <w:sz w:val="22"/>
          <w:szCs w:val="22"/>
        </w:rPr>
        <w:t>ES</w:t>
      </w:r>
      <w:r>
        <w:rPr>
          <w:rFonts w:asciiTheme="minorHAnsi" w:hAnsiTheme="minorHAnsi" w:cstheme="minorHAnsi"/>
          <w:i/>
          <w:spacing w:val="-2"/>
          <w:sz w:val="22"/>
          <w:szCs w:val="22"/>
        </w:rPr>
        <w:t>E</w:t>
      </w:r>
      <w:r w:rsidR="00167F27">
        <w:rPr>
          <w:rFonts w:asciiTheme="minorHAnsi" w:hAnsiTheme="minorHAnsi" w:cstheme="minorHAnsi"/>
          <w:i/>
          <w:spacing w:val="-2"/>
          <w:sz w:val="22"/>
          <w:szCs w:val="22"/>
        </w:rPr>
        <w:t>A</w:t>
      </w:r>
      <w:r w:rsidR="002C131E" w:rsidRPr="0074641D">
        <w:rPr>
          <w:rFonts w:asciiTheme="minorHAnsi" w:hAnsiTheme="minorHAnsi" w:cstheme="minorHAnsi"/>
          <w:i/>
          <w:spacing w:val="-2"/>
          <w:sz w:val="22"/>
          <w:szCs w:val="22"/>
        </w:rPr>
        <w:t xml:space="preserve">. </w:t>
      </w:r>
    </w:p>
    <w:p w14:paraId="268EB0DE" w14:textId="77777777" w:rsidR="001E2372" w:rsidRPr="0074641D" w:rsidRDefault="001E2372" w:rsidP="00E422D5">
      <w:pPr>
        <w:pStyle w:val="Bryan"/>
        <w:spacing w:line="228" w:lineRule="auto"/>
        <w:ind w:left="-634" w:right="-634"/>
        <w:jc w:val="both"/>
        <w:rPr>
          <w:rFonts w:asciiTheme="minorHAnsi" w:hAnsiTheme="minorHAnsi" w:cstheme="minorHAnsi"/>
          <w:i/>
          <w:spacing w:val="-2"/>
          <w:sz w:val="22"/>
          <w:szCs w:val="22"/>
        </w:rPr>
      </w:pPr>
    </w:p>
    <w:p w14:paraId="4B2407D2" w14:textId="198AE56F" w:rsidR="00877C6D" w:rsidRPr="0074641D" w:rsidRDefault="002C131E" w:rsidP="00E422D5">
      <w:pPr>
        <w:pStyle w:val="Bryan"/>
        <w:spacing w:line="228" w:lineRule="auto"/>
        <w:ind w:left="-634" w:right="-634"/>
        <w:jc w:val="both"/>
        <w:rPr>
          <w:rFonts w:asciiTheme="minorHAnsi" w:hAnsiTheme="minorHAnsi" w:cstheme="minorHAnsi"/>
          <w:spacing w:val="-2"/>
          <w:sz w:val="22"/>
          <w:szCs w:val="22"/>
        </w:rPr>
      </w:pPr>
      <w:r w:rsidRPr="0074641D">
        <w:rPr>
          <w:rFonts w:asciiTheme="minorHAnsi" w:hAnsiTheme="minorHAnsi" w:cstheme="minorHAnsi"/>
          <w:spacing w:val="-2"/>
          <w:sz w:val="22"/>
          <w:szCs w:val="22"/>
        </w:rPr>
        <w:t>Th</w:t>
      </w:r>
      <w:r w:rsidR="001E2372" w:rsidRPr="0074641D">
        <w:rPr>
          <w:rFonts w:asciiTheme="minorHAnsi" w:hAnsiTheme="minorHAnsi" w:cstheme="minorHAnsi"/>
          <w:spacing w:val="-2"/>
          <w:sz w:val="22"/>
          <w:szCs w:val="22"/>
        </w:rPr>
        <w:t>e presiding officer for this</w:t>
      </w:r>
      <w:r w:rsidRPr="0074641D">
        <w:rPr>
          <w:rFonts w:asciiTheme="minorHAnsi" w:hAnsiTheme="minorHAnsi" w:cstheme="minorHAnsi"/>
          <w:spacing w:val="-2"/>
          <w:sz w:val="22"/>
          <w:szCs w:val="22"/>
        </w:rPr>
        <w:t xml:space="preserve"> Enforcement Hearing shall be Mississippi’s State Ombudsman for Equitable Services, </w:t>
      </w:r>
      <w:r w:rsidR="001E2372" w:rsidRPr="0074641D">
        <w:rPr>
          <w:rFonts w:asciiTheme="minorHAnsi" w:hAnsiTheme="minorHAnsi" w:cstheme="minorHAnsi"/>
          <w:spacing w:val="-2"/>
          <w:sz w:val="22"/>
          <w:szCs w:val="22"/>
          <w:u w:val="single"/>
        </w:rPr>
        <w:t>Bryan P. Lieb, Esq.</w:t>
      </w:r>
      <w:r w:rsidR="001E2372" w:rsidRPr="0074641D">
        <w:rPr>
          <w:rFonts w:asciiTheme="minorHAnsi" w:hAnsiTheme="minorHAnsi" w:cstheme="minorHAnsi"/>
          <w:spacing w:val="-2"/>
          <w:sz w:val="22"/>
          <w:szCs w:val="22"/>
        </w:rPr>
        <w:t xml:space="preserve">, </w:t>
      </w:r>
      <w:r w:rsidRPr="0074641D">
        <w:rPr>
          <w:rFonts w:asciiTheme="minorHAnsi" w:hAnsiTheme="minorHAnsi" w:cstheme="minorHAnsi"/>
          <w:spacing w:val="-2"/>
          <w:sz w:val="22"/>
          <w:szCs w:val="22"/>
        </w:rPr>
        <w:t>who shall hear the evidence</w:t>
      </w:r>
      <w:r w:rsidR="00397F73" w:rsidRPr="0074641D">
        <w:rPr>
          <w:rFonts w:asciiTheme="minorHAnsi" w:hAnsiTheme="minorHAnsi" w:cstheme="minorHAnsi"/>
          <w:spacing w:val="-2"/>
          <w:sz w:val="22"/>
          <w:szCs w:val="22"/>
        </w:rPr>
        <w:t xml:space="preserve"> and arguments,</w:t>
      </w:r>
      <w:r w:rsidRPr="0074641D">
        <w:rPr>
          <w:rFonts w:asciiTheme="minorHAnsi" w:hAnsiTheme="minorHAnsi" w:cstheme="minorHAnsi"/>
          <w:spacing w:val="-2"/>
          <w:sz w:val="22"/>
          <w:szCs w:val="22"/>
        </w:rPr>
        <w:t xml:space="preserve"> and issue a written decision and order.</w:t>
      </w:r>
    </w:p>
    <w:p w14:paraId="404CCE98" w14:textId="77777777" w:rsidR="002C131E" w:rsidRPr="0074641D" w:rsidRDefault="002C131E" w:rsidP="00E422D5">
      <w:pPr>
        <w:pStyle w:val="Bryan"/>
        <w:spacing w:line="228" w:lineRule="auto"/>
        <w:ind w:left="-634" w:right="-634"/>
        <w:jc w:val="both"/>
        <w:rPr>
          <w:rFonts w:asciiTheme="minorHAnsi" w:hAnsiTheme="minorHAnsi" w:cstheme="minorHAnsi"/>
          <w:spacing w:val="-2"/>
          <w:sz w:val="22"/>
          <w:szCs w:val="22"/>
        </w:rPr>
      </w:pPr>
    </w:p>
    <w:p w14:paraId="5D9E65BF" w14:textId="77777777" w:rsidR="00397F73" w:rsidRPr="0074641D" w:rsidRDefault="00397F73" w:rsidP="00E422D5">
      <w:pPr>
        <w:pStyle w:val="Bryan"/>
        <w:spacing w:line="228" w:lineRule="auto"/>
        <w:ind w:left="-634" w:right="-634"/>
        <w:jc w:val="both"/>
        <w:rPr>
          <w:rFonts w:asciiTheme="minorHAnsi" w:hAnsiTheme="minorHAnsi" w:cstheme="minorHAnsi"/>
          <w:b/>
          <w:spacing w:val="-2"/>
          <w:sz w:val="22"/>
          <w:szCs w:val="22"/>
        </w:rPr>
      </w:pPr>
      <w:r w:rsidRPr="0074641D">
        <w:rPr>
          <w:rFonts w:asciiTheme="minorHAnsi" w:hAnsiTheme="minorHAnsi" w:cstheme="minorHAnsi"/>
          <w:b/>
          <w:spacing w:val="-2"/>
          <w:sz w:val="22"/>
          <w:szCs w:val="22"/>
        </w:rPr>
        <w:t>The Hearing shall commence on [date], at [time] [a.m./p.m.], in a conference room provided by [LEA] located at [address].</w:t>
      </w:r>
    </w:p>
    <w:p w14:paraId="20B249FF" w14:textId="77777777" w:rsidR="00397F73" w:rsidRPr="0074641D" w:rsidRDefault="00397F73" w:rsidP="00E422D5">
      <w:pPr>
        <w:pStyle w:val="Bryan"/>
        <w:spacing w:line="228" w:lineRule="auto"/>
        <w:ind w:left="-634" w:right="-634"/>
        <w:jc w:val="both"/>
        <w:rPr>
          <w:rFonts w:asciiTheme="minorHAnsi" w:hAnsiTheme="minorHAnsi" w:cstheme="minorHAnsi"/>
          <w:spacing w:val="-2"/>
          <w:sz w:val="22"/>
          <w:szCs w:val="22"/>
        </w:rPr>
      </w:pPr>
    </w:p>
    <w:p w14:paraId="72CD8DE8" w14:textId="77777777" w:rsidR="00AD74EC" w:rsidRPr="0074641D" w:rsidRDefault="006C619A" w:rsidP="00E422D5">
      <w:pPr>
        <w:pStyle w:val="Bryan"/>
        <w:spacing w:line="228" w:lineRule="auto"/>
        <w:ind w:left="-634" w:right="-634"/>
        <w:jc w:val="both"/>
        <w:rPr>
          <w:rFonts w:asciiTheme="minorHAnsi" w:hAnsiTheme="minorHAnsi" w:cstheme="minorHAnsi"/>
          <w:spacing w:val="-2"/>
          <w:sz w:val="22"/>
          <w:szCs w:val="22"/>
        </w:rPr>
      </w:pPr>
      <w:r w:rsidRPr="0074641D">
        <w:rPr>
          <w:rFonts w:asciiTheme="minorHAnsi" w:hAnsiTheme="minorHAnsi" w:cstheme="minorHAnsi"/>
          <w:spacing w:val="-2"/>
          <w:sz w:val="22"/>
          <w:szCs w:val="22"/>
        </w:rPr>
        <w:t>The parties shall take notice that t</w:t>
      </w:r>
      <w:r w:rsidR="0052190B" w:rsidRPr="0074641D">
        <w:rPr>
          <w:rFonts w:asciiTheme="minorHAnsi" w:hAnsiTheme="minorHAnsi" w:cstheme="minorHAnsi"/>
          <w:spacing w:val="-2"/>
          <w:sz w:val="22"/>
          <w:szCs w:val="22"/>
        </w:rPr>
        <w:t xml:space="preserve">he conduct of the Enforcement Hearing shall be governed by the above-cited </w:t>
      </w:r>
      <w:r w:rsidR="0052190B" w:rsidRPr="0074641D">
        <w:rPr>
          <w:rFonts w:asciiTheme="minorHAnsi" w:hAnsiTheme="minorHAnsi" w:cstheme="minorHAnsi"/>
          <w:i/>
          <w:spacing w:val="-2"/>
          <w:sz w:val="22"/>
          <w:szCs w:val="22"/>
        </w:rPr>
        <w:t>Equitable Services Dispute Resolution Procedure</w:t>
      </w:r>
      <w:r w:rsidR="0052190B" w:rsidRPr="0074641D">
        <w:rPr>
          <w:rFonts w:asciiTheme="minorHAnsi" w:hAnsiTheme="minorHAnsi" w:cstheme="minorHAnsi"/>
          <w:spacing w:val="-2"/>
          <w:sz w:val="22"/>
          <w:szCs w:val="22"/>
        </w:rPr>
        <w:t xml:space="preserve">, and otherwise by the Ombudsman’s discretion. </w:t>
      </w:r>
      <w:r w:rsidR="008D5EE6" w:rsidRPr="0074641D">
        <w:rPr>
          <w:rFonts w:asciiTheme="minorHAnsi" w:hAnsiTheme="minorHAnsi" w:cstheme="minorHAnsi"/>
          <w:spacing w:val="-2"/>
          <w:sz w:val="22"/>
          <w:szCs w:val="22"/>
        </w:rPr>
        <w:t>If there is any variation, t</w:t>
      </w:r>
      <w:r w:rsidR="0052190B" w:rsidRPr="0074641D">
        <w:rPr>
          <w:rFonts w:asciiTheme="minorHAnsi" w:hAnsiTheme="minorHAnsi" w:cstheme="minorHAnsi"/>
          <w:spacing w:val="-2"/>
          <w:sz w:val="22"/>
          <w:szCs w:val="22"/>
        </w:rPr>
        <w:t xml:space="preserve">he text of the above-cited </w:t>
      </w:r>
      <w:r w:rsidRPr="0074641D">
        <w:rPr>
          <w:rFonts w:asciiTheme="minorHAnsi" w:hAnsiTheme="minorHAnsi" w:cstheme="minorHAnsi"/>
          <w:i/>
          <w:spacing w:val="-2"/>
          <w:sz w:val="22"/>
          <w:szCs w:val="22"/>
        </w:rPr>
        <w:t>P</w:t>
      </w:r>
      <w:r w:rsidR="0052190B" w:rsidRPr="0074641D">
        <w:rPr>
          <w:rFonts w:asciiTheme="minorHAnsi" w:hAnsiTheme="minorHAnsi" w:cstheme="minorHAnsi"/>
          <w:i/>
          <w:spacing w:val="-2"/>
          <w:sz w:val="22"/>
          <w:szCs w:val="22"/>
        </w:rPr>
        <w:t>rocedure</w:t>
      </w:r>
      <w:r w:rsidR="0052190B" w:rsidRPr="0074641D">
        <w:rPr>
          <w:rFonts w:asciiTheme="minorHAnsi" w:hAnsiTheme="minorHAnsi" w:cstheme="minorHAnsi"/>
          <w:spacing w:val="-2"/>
          <w:sz w:val="22"/>
          <w:szCs w:val="22"/>
        </w:rPr>
        <w:t xml:space="preserve"> shall supersede the following </w:t>
      </w:r>
      <w:r w:rsidR="0052190B" w:rsidRPr="0074641D">
        <w:rPr>
          <w:rFonts w:asciiTheme="minorHAnsi" w:hAnsiTheme="minorHAnsi" w:cstheme="minorHAnsi"/>
          <w:spacing w:val="-2"/>
          <w:sz w:val="22"/>
          <w:szCs w:val="22"/>
          <w:u w:val="single"/>
        </w:rPr>
        <w:t>condensed procedures and instructions</w:t>
      </w:r>
      <w:r w:rsidR="0052190B" w:rsidRPr="0074641D">
        <w:rPr>
          <w:rFonts w:asciiTheme="minorHAnsi" w:hAnsiTheme="minorHAnsi" w:cstheme="minorHAnsi"/>
          <w:spacing w:val="-2"/>
          <w:sz w:val="22"/>
          <w:szCs w:val="22"/>
        </w:rPr>
        <w:t>:</w:t>
      </w:r>
    </w:p>
    <w:p w14:paraId="52C9E80E" w14:textId="77777777" w:rsidR="00AD74EC" w:rsidRDefault="00AD74EC" w:rsidP="00E422D5">
      <w:pPr>
        <w:pStyle w:val="Bryan"/>
        <w:spacing w:line="228" w:lineRule="auto"/>
        <w:ind w:left="-630" w:right="-630"/>
        <w:jc w:val="both"/>
        <w:rPr>
          <w:rFonts w:asciiTheme="minorHAnsi" w:hAnsiTheme="minorHAnsi" w:cstheme="minorHAnsi"/>
          <w:sz w:val="22"/>
          <w:szCs w:val="22"/>
        </w:rPr>
      </w:pPr>
    </w:p>
    <w:p w14:paraId="26D834C8"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bookmarkStart w:id="0" w:name="_Hlk497128401"/>
      <w:r w:rsidRPr="00336646">
        <w:rPr>
          <w:rFonts w:asciiTheme="minorHAnsi" w:hAnsiTheme="minorHAnsi" w:cstheme="minorHAnsi"/>
          <w:spacing w:val="-2"/>
          <w:sz w:val="22"/>
          <w:szCs w:val="22"/>
        </w:rPr>
        <w:t>a.</w:t>
      </w:r>
      <w:r w:rsidRPr="00336646">
        <w:rPr>
          <w:rFonts w:asciiTheme="minorHAnsi" w:hAnsiTheme="minorHAnsi" w:cstheme="minorHAnsi"/>
          <w:spacing w:val="-2"/>
          <w:sz w:val="22"/>
          <w:szCs w:val="22"/>
        </w:rPr>
        <w:tab/>
        <w:t xml:space="preserve">The </w:t>
      </w:r>
      <w:r>
        <w:rPr>
          <w:rFonts w:asciiTheme="minorHAnsi" w:hAnsiTheme="minorHAnsi" w:cstheme="minorHAnsi"/>
          <w:spacing w:val="-2"/>
          <w:sz w:val="22"/>
          <w:szCs w:val="22"/>
        </w:rPr>
        <w:t>school district</w:t>
      </w:r>
      <w:r w:rsidRPr="00336646">
        <w:rPr>
          <w:rFonts w:asciiTheme="minorHAnsi" w:hAnsiTheme="minorHAnsi" w:cstheme="minorHAnsi"/>
          <w:spacing w:val="-2"/>
          <w:sz w:val="22"/>
          <w:szCs w:val="22"/>
        </w:rPr>
        <w:t xml:space="preserve"> and private school must </w:t>
      </w:r>
      <w:r>
        <w:rPr>
          <w:rFonts w:asciiTheme="minorHAnsi" w:hAnsiTheme="minorHAnsi" w:cstheme="minorHAnsi"/>
          <w:spacing w:val="-2"/>
          <w:sz w:val="22"/>
          <w:szCs w:val="22"/>
        </w:rPr>
        <w:t xml:space="preserve">each </w:t>
      </w:r>
      <w:r w:rsidRPr="00336646">
        <w:rPr>
          <w:rFonts w:asciiTheme="minorHAnsi" w:hAnsiTheme="minorHAnsi" w:cstheme="minorHAnsi"/>
          <w:spacing w:val="-2"/>
          <w:sz w:val="22"/>
          <w:szCs w:val="22"/>
        </w:rPr>
        <w:t>be represented at the hearing by a designated representative, and may also be represented by legal counsel. These two positions may be held by different persons, or by the same person, at the discretion of the party. The party’s designated representative, or his/her designee (for example, legal counsel) shall be given the opportunity to question each of that party’s witnesses, or defer to the Ombudsman’s questioning of the witness. The designated representative may testify as a witness.</w:t>
      </w:r>
    </w:p>
    <w:p w14:paraId="4F6DB260"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p>
    <w:p w14:paraId="3E60DEEC"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r w:rsidRPr="00336646">
        <w:rPr>
          <w:rFonts w:asciiTheme="minorHAnsi" w:hAnsiTheme="minorHAnsi" w:cstheme="minorHAnsi"/>
          <w:spacing w:val="-2"/>
          <w:sz w:val="22"/>
          <w:szCs w:val="22"/>
        </w:rPr>
        <w:t>b.</w:t>
      </w:r>
      <w:r w:rsidRPr="00336646">
        <w:rPr>
          <w:rFonts w:asciiTheme="minorHAnsi" w:hAnsiTheme="minorHAnsi" w:cstheme="minorHAnsi"/>
          <w:spacing w:val="-2"/>
          <w:sz w:val="22"/>
          <w:szCs w:val="22"/>
        </w:rPr>
        <w:tab/>
      </w:r>
      <w:bookmarkStart w:id="1" w:name="_Hlk497915627"/>
      <w:r w:rsidR="00131C7C" w:rsidRPr="00131C7C">
        <w:rPr>
          <w:rFonts w:asciiTheme="minorHAnsi" w:hAnsiTheme="minorHAnsi" w:cstheme="minorHAnsi"/>
          <w:spacing w:val="-2"/>
          <w:sz w:val="22"/>
          <w:szCs w:val="22"/>
        </w:rPr>
        <w:t>Oral, written and other (video, audio, etc.) evidence may be presented at the hearing. Witnesses provided by the parties may give testimony</w:t>
      </w:r>
      <w:r w:rsidR="00EB6B17">
        <w:rPr>
          <w:rFonts w:asciiTheme="minorHAnsi" w:hAnsiTheme="minorHAnsi" w:cstheme="minorHAnsi"/>
          <w:spacing w:val="-2"/>
          <w:sz w:val="22"/>
          <w:szCs w:val="22"/>
        </w:rPr>
        <w:t>,</w:t>
      </w:r>
      <w:r w:rsidR="00131C7C" w:rsidRPr="00131C7C">
        <w:rPr>
          <w:rFonts w:asciiTheme="minorHAnsi" w:hAnsiTheme="minorHAnsi" w:cstheme="minorHAnsi"/>
          <w:spacing w:val="-2"/>
          <w:sz w:val="22"/>
          <w:szCs w:val="22"/>
        </w:rPr>
        <w:t xml:space="preserve"> </w:t>
      </w:r>
      <w:r w:rsidR="00EB6B17">
        <w:rPr>
          <w:rFonts w:asciiTheme="minorHAnsi" w:hAnsiTheme="minorHAnsi" w:cstheme="minorHAnsi"/>
          <w:spacing w:val="-2"/>
          <w:sz w:val="22"/>
          <w:szCs w:val="22"/>
        </w:rPr>
        <w:t>including</w:t>
      </w:r>
      <w:r w:rsidR="00131C7C" w:rsidRPr="00131C7C">
        <w:rPr>
          <w:rFonts w:asciiTheme="minorHAnsi" w:hAnsiTheme="minorHAnsi" w:cstheme="minorHAnsi"/>
          <w:spacing w:val="-2"/>
          <w:sz w:val="22"/>
          <w:szCs w:val="22"/>
        </w:rPr>
        <w:t xml:space="preserve"> discuss</w:t>
      </w:r>
      <w:r w:rsidR="00EB6B17">
        <w:rPr>
          <w:rFonts w:asciiTheme="minorHAnsi" w:hAnsiTheme="minorHAnsi" w:cstheme="minorHAnsi"/>
          <w:spacing w:val="-2"/>
          <w:sz w:val="22"/>
          <w:szCs w:val="22"/>
        </w:rPr>
        <w:t>ion of</w:t>
      </w:r>
      <w:r w:rsidR="00131C7C" w:rsidRPr="00131C7C">
        <w:rPr>
          <w:rFonts w:asciiTheme="minorHAnsi" w:hAnsiTheme="minorHAnsi" w:cstheme="minorHAnsi"/>
          <w:spacing w:val="-2"/>
          <w:sz w:val="22"/>
          <w:szCs w:val="22"/>
        </w:rPr>
        <w:t xml:space="preserve"> documents and other evidence. Testimony shall be given under oath administered by the Ombudsman, and subject to cross-examination by the opposing party’s representative or designee. The Ombudsman may, at any time, intervene to question any person testifying.</w:t>
      </w:r>
      <w:bookmarkEnd w:id="1"/>
      <w:r w:rsidR="00131C7C" w:rsidRPr="00131C7C">
        <w:rPr>
          <w:rFonts w:asciiTheme="minorHAnsi" w:hAnsiTheme="minorHAnsi" w:cstheme="minorHAnsi"/>
          <w:spacing w:val="-2"/>
          <w:sz w:val="22"/>
          <w:szCs w:val="22"/>
        </w:rPr>
        <w:t xml:space="preserve"> The parties may give closing arguments after the completion of all witness testimony.</w:t>
      </w:r>
    </w:p>
    <w:p w14:paraId="2554D99B"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p>
    <w:p w14:paraId="432CC8EE" w14:textId="475EAC4E" w:rsidR="00272D07" w:rsidRPr="00272D07" w:rsidRDefault="00272D07" w:rsidP="00E422D5">
      <w:pPr>
        <w:pStyle w:val="Bryan"/>
        <w:spacing w:line="228" w:lineRule="auto"/>
        <w:ind w:left="-360" w:right="-630" w:hanging="270"/>
        <w:jc w:val="both"/>
        <w:rPr>
          <w:rFonts w:asciiTheme="minorHAnsi" w:hAnsiTheme="minorHAnsi" w:cstheme="minorHAnsi"/>
          <w:spacing w:val="-2"/>
          <w:sz w:val="22"/>
          <w:szCs w:val="22"/>
        </w:rPr>
      </w:pPr>
      <w:r w:rsidRPr="00336646">
        <w:rPr>
          <w:rFonts w:asciiTheme="minorHAnsi" w:hAnsiTheme="minorHAnsi" w:cstheme="minorHAnsi"/>
          <w:spacing w:val="-2"/>
          <w:sz w:val="22"/>
          <w:szCs w:val="22"/>
        </w:rPr>
        <w:t>c.</w:t>
      </w:r>
      <w:r w:rsidRPr="00336646">
        <w:rPr>
          <w:rFonts w:asciiTheme="minorHAnsi" w:hAnsiTheme="minorHAnsi" w:cstheme="minorHAnsi"/>
          <w:spacing w:val="-2"/>
          <w:sz w:val="22"/>
          <w:szCs w:val="22"/>
        </w:rPr>
        <w:tab/>
        <w:t xml:space="preserve">Witnesses are required to answer all questions allowed by the Ombudsman, who may disallow irrelevant or repetitive questions on his/her own initiative or upon the successful objection of a party. A refusal to answer shall be deemed to imply an answer against the interest of the witness’s party. The Ombudsman shall warn a refusing witness and give a final opportunity to answer prior to taking a negative inference from the refusal. If a negative inference is taken, it is not automatically fatal to the party’s case, but is another piece of evidence to be weighed in the final consideration of whether the private school has </w:t>
      </w:r>
      <w:r w:rsidRPr="00E638BB">
        <w:rPr>
          <w:rFonts w:asciiTheme="minorHAnsi" w:hAnsiTheme="minorHAnsi" w:cstheme="minorHAnsi"/>
          <w:spacing w:val="-2"/>
          <w:sz w:val="22"/>
          <w:szCs w:val="22"/>
        </w:rPr>
        <w:t>met its burden of proof to</w:t>
      </w:r>
      <w:r>
        <w:rPr>
          <w:rFonts w:asciiTheme="minorHAnsi" w:hAnsiTheme="minorHAnsi" w:cstheme="minorHAnsi"/>
          <w:spacing w:val="-2"/>
          <w:sz w:val="22"/>
          <w:szCs w:val="22"/>
        </w:rPr>
        <w:t xml:space="preserve"> demonstrate, by a preponderance of the evidence, LEA-noncompliance with the </w:t>
      </w:r>
      <w:r w:rsidR="00C638A9">
        <w:rPr>
          <w:rFonts w:asciiTheme="minorHAnsi" w:hAnsiTheme="minorHAnsi" w:cstheme="minorHAnsi"/>
          <w:spacing w:val="-2"/>
          <w:sz w:val="22"/>
          <w:szCs w:val="22"/>
        </w:rPr>
        <w:t xml:space="preserve">equitable services </w:t>
      </w:r>
      <w:r>
        <w:rPr>
          <w:rFonts w:asciiTheme="minorHAnsi" w:hAnsiTheme="minorHAnsi" w:cstheme="minorHAnsi"/>
          <w:spacing w:val="-2"/>
          <w:sz w:val="22"/>
          <w:szCs w:val="22"/>
        </w:rPr>
        <w:t xml:space="preserve">requirements of </w:t>
      </w:r>
      <w:r>
        <w:rPr>
          <w:rFonts w:asciiTheme="minorHAnsi" w:hAnsiTheme="minorHAnsi" w:cstheme="minorHAnsi"/>
          <w:i/>
          <w:spacing w:val="-2"/>
          <w:sz w:val="22"/>
          <w:szCs w:val="22"/>
        </w:rPr>
        <w:t>ES</w:t>
      </w:r>
      <w:r w:rsidR="00E93FEC">
        <w:rPr>
          <w:rFonts w:asciiTheme="minorHAnsi" w:hAnsiTheme="minorHAnsi" w:cstheme="minorHAnsi"/>
          <w:i/>
          <w:spacing w:val="-2"/>
          <w:sz w:val="22"/>
          <w:szCs w:val="22"/>
        </w:rPr>
        <w:t>E</w:t>
      </w:r>
      <w:r>
        <w:rPr>
          <w:rFonts w:asciiTheme="minorHAnsi" w:hAnsiTheme="minorHAnsi" w:cstheme="minorHAnsi"/>
          <w:i/>
          <w:spacing w:val="-2"/>
          <w:sz w:val="22"/>
          <w:szCs w:val="22"/>
        </w:rPr>
        <w:t>A</w:t>
      </w:r>
      <w:r>
        <w:rPr>
          <w:rFonts w:asciiTheme="minorHAnsi" w:hAnsiTheme="minorHAnsi" w:cstheme="minorHAnsi"/>
          <w:spacing w:val="-2"/>
          <w:sz w:val="22"/>
          <w:szCs w:val="22"/>
        </w:rPr>
        <w:t>.</w:t>
      </w:r>
    </w:p>
    <w:p w14:paraId="28252017"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p>
    <w:p w14:paraId="334CCCBA"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r w:rsidRPr="00336646">
        <w:rPr>
          <w:rFonts w:asciiTheme="minorHAnsi" w:hAnsiTheme="minorHAnsi" w:cstheme="minorHAnsi"/>
          <w:spacing w:val="-2"/>
          <w:sz w:val="22"/>
          <w:szCs w:val="22"/>
        </w:rPr>
        <w:t>d.</w:t>
      </w:r>
      <w:r w:rsidRPr="00336646">
        <w:rPr>
          <w:rFonts w:asciiTheme="minorHAnsi" w:hAnsiTheme="minorHAnsi" w:cstheme="minorHAnsi"/>
          <w:spacing w:val="-2"/>
          <w:sz w:val="22"/>
          <w:szCs w:val="22"/>
        </w:rPr>
        <w:tab/>
        <w:t>The Ombudsman shall assess the credibility of each item of evidence offered, and the weight afforded such evidence shall be influenced accordingly.</w:t>
      </w:r>
      <w:r w:rsidR="007A0DBE">
        <w:rPr>
          <w:rFonts w:asciiTheme="minorHAnsi" w:hAnsiTheme="minorHAnsi" w:cstheme="minorHAnsi"/>
          <w:spacing w:val="-2"/>
          <w:sz w:val="22"/>
          <w:szCs w:val="22"/>
        </w:rPr>
        <w:t xml:space="preserve"> The technical rules of evidence shall be relaxed, in the Ombudsman’s discretion.</w:t>
      </w:r>
    </w:p>
    <w:p w14:paraId="2456C228"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p>
    <w:p w14:paraId="2F63300E"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r w:rsidRPr="00336646">
        <w:rPr>
          <w:rFonts w:asciiTheme="minorHAnsi" w:hAnsiTheme="minorHAnsi" w:cstheme="minorHAnsi"/>
          <w:spacing w:val="-2"/>
          <w:sz w:val="22"/>
          <w:szCs w:val="22"/>
        </w:rPr>
        <w:lastRenderedPageBreak/>
        <w:t>e.</w:t>
      </w:r>
      <w:r w:rsidRPr="00336646">
        <w:rPr>
          <w:rFonts w:asciiTheme="minorHAnsi" w:hAnsiTheme="minorHAnsi" w:cstheme="minorHAnsi"/>
          <w:spacing w:val="-2"/>
          <w:sz w:val="22"/>
          <w:szCs w:val="22"/>
        </w:rPr>
        <w:tab/>
        <w:t>Subpoenas of persons or physical evidence shall not be issued.</w:t>
      </w:r>
    </w:p>
    <w:p w14:paraId="0B37536B"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p>
    <w:p w14:paraId="6487EA8A"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r w:rsidRPr="00336646">
        <w:rPr>
          <w:rFonts w:asciiTheme="minorHAnsi" w:hAnsiTheme="minorHAnsi" w:cstheme="minorHAnsi"/>
          <w:spacing w:val="-2"/>
          <w:sz w:val="22"/>
          <w:szCs w:val="22"/>
        </w:rPr>
        <w:t>f.</w:t>
      </w:r>
      <w:r w:rsidRPr="00336646">
        <w:rPr>
          <w:rFonts w:asciiTheme="minorHAnsi" w:hAnsiTheme="minorHAnsi" w:cstheme="minorHAnsi"/>
          <w:spacing w:val="-2"/>
          <w:sz w:val="22"/>
          <w:szCs w:val="22"/>
        </w:rPr>
        <w:tab/>
        <w:t>Witnesses shall be sequestered, waiting in a designated area or areas outside of the audible hearing of the proceedings until summoned in to testify.</w:t>
      </w:r>
      <w:r w:rsidR="0052190B">
        <w:rPr>
          <w:rFonts w:asciiTheme="minorHAnsi" w:hAnsiTheme="minorHAnsi" w:cstheme="minorHAnsi"/>
          <w:spacing w:val="-2"/>
          <w:sz w:val="22"/>
          <w:szCs w:val="22"/>
        </w:rPr>
        <w:t xml:space="preserve"> </w:t>
      </w:r>
      <w:r w:rsidRPr="00336646">
        <w:rPr>
          <w:rFonts w:asciiTheme="minorHAnsi" w:hAnsiTheme="minorHAnsi" w:cstheme="minorHAnsi"/>
          <w:spacing w:val="-2"/>
          <w:sz w:val="22"/>
          <w:szCs w:val="22"/>
        </w:rPr>
        <w:t>Before departing the hearing room to be sequestered, the Ombudsman shall order the witnesses not to discuss their testimony or any matter related to the case with any other person until the completion of the Enforcement Hearing.</w:t>
      </w:r>
      <w:r w:rsidR="0052190B">
        <w:rPr>
          <w:rFonts w:asciiTheme="minorHAnsi" w:hAnsiTheme="minorHAnsi" w:cstheme="minorHAnsi"/>
          <w:spacing w:val="-2"/>
          <w:sz w:val="22"/>
          <w:szCs w:val="22"/>
        </w:rPr>
        <w:t xml:space="preserve"> </w:t>
      </w:r>
      <w:r w:rsidRPr="00336646">
        <w:rPr>
          <w:rFonts w:asciiTheme="minorHAnsi" w:hAnsiTheme="minorHAnsi" w:cstheme="minorHAnsi"/>
          <w:spacing w:val="-2"/>
          <w:sz w:val="22"/>
          <w:szCs w:val="22"/>
        </w:rPr>
        <w:t>Because of the possibility of a private school witness returning to give rebuttal testimony, private school witnesses should return to the sequestration area(s) after testifying. A private school witness who is not immediately available to be recalled for rebuttal testimony may be disqualified from giving rebuttal testimony.</w:t>
      </w:r>
    </w:p>
    <w:p w14:paraId="4D3D9297"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p>
    <w:p w14:paraId="4E2D7841"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r w:rsidRPr="00336646">
        <w:rPr>
          <w:rFonts w:asciiTheme="minorHAnsi" w:hAnsiTheme="minorHAnsi" w:cstheme="minorHAnsi"/>
          <w:spacing w:val="-2"/>
          <w:sz w:val="22"/>
          <w:szCs w:val="22"/>
        </w:rPr>
        <w:t>g.</w:t>
      </w:r>
      <w:r w:rsidRPr="00336646">
        <w:rPr>
          <w:rFonts w:asciiTheme="minorHAnsi" w:hAnsiTheme="minorHAnsi" w:cstheme="minorHAnsi"/>
          <w:spacing w:val="-2"/>
          <w:sz w:val="22"/>
          <w:szCs w:val="22"/>
        </w:rPr>
        <w:tab/>
        <w:t>Each party’s designated representative, and if present, legal counsel, are entitled to remain in the hearing room throughout the hearing (never sequestered). Either of these persons may give sworn witness testimony in due course.</w:t>
      </w:r>
    </w:p>
    <w:p w14:paraId="416B47CE"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p>
    <w:p w14:paraId="4BAE7CC8" w14:textId="77777777" w:rsidR="00272D07" w:rsidRPr="00336646" w:rsidRDefault="00272D07" w:rsidP="009228D4">
      <w:pPr>
        <w:pStyle w:val="Bryan"/>
        <w:spacing w:line="228" w:lineRule="auto"/>
        <w:ind w:left="-360" w:right="-634" w:hanging="274"/>
        <w:jc w:val="both"/>
        <w:rPr>
          <w:rFonts w:asciiTheme="minorHAnsi" w:hAnsiTheme="minorHAnsi" w:cstheme="minorHAnsi"/>
          <w:spacing w:val="-2"/>
          <w:sz w:val="22"/>
          <w:szCs w:val="22"/>
        </w:rPr>
      </w:pPr>
      <w:r w:rsidRPr="00336646">
        <w:rPr>
          <w:rFonts w:asciiTheme="minorHAnsi" w:hAnsiTheme="minorHAnsi" w:cstheme="minorHAnsi"/>
          <w:spacing w:val="-2"/>
          <w:sz w:val="22"/>
          <w:szCs w:val="22"/>
        </w:rPr>
        <w:t>h.</w:t>
      </w:r>
      <w:r w:rsidRPr="00336646">
        <w:rPr>
          <w:rFonts w:asciiTheme="minorHAnsi" w:hAnsiTheme="minorHAnsi" w:cstheme="minorHAnsi"/>
          <w:spacing w:val="-2"/>
          <w:sz w:val="22"/>
          <w:szCs w:val="22"/>
        </w:rPr>
        <w:tab/>
        <w:t>Designated observers associated with the parties (limited to party administrative officers) may be permitted in, or excluded from, the hearing at the Ombudsman’s discretion, including consideration of seating capacity. Observers must remain silent.</w:t>
      </w:r>
      <w:r w:rsidR="00717CA0">
        <w:rPr>
          <w:rFonts w:asciiTheme="minorHAnsi" w:hAnsiTheme="minorHAnsi" w:cstheme="minorHAnsi"/>
          <w:spacing w:val="-2"/>
          <w:sz w:val="22"/>
          <w:szCs w:val="22"/>
        </w:rPr>
        <w:t xml:space="preserve"> Credentialed reporters and members of the public may be limited or excluded (respectively) by the Ombudsman. Any recording and/or broadcasting, other than the creation of the official transcript, is prohibited.</w:t>
      </w:r>
    </w:p>
    <w:p w14:paraId="7FF5E16A" w14:textId="77777777" w:rsidR="00272D07" w:rsidRPr="00336646" w:rsidRDefault="00272D07" w:rsidP="009228D4">
      <w:pPr>
        <w:pStyle w:val="Bryan"/>
        <w:spacing w:line="228" w:lineRule="auto"/>
        <w:ind w:left="-360" w:right="-634" w:hanging="274"/>
        <w:jc w:val="both"/>
        <w:rPr>
          <w:rFonts w:asciiTheme="minorHAnsi" w:hAnsiTheme="minorHAnsi" w:cstheme="minorHAnsi"/>
          <w:spacing w:val="-2"/>
          <w:sz w:val="22"/>
          <w:szCs w:val="22"/>
        </w:rPr>
      </w:pPr>
    </w:p>
    <w:p w14:paraId="16D59AC5" w14:textId="77777777" w:rsidR="00272D07" w:rsidRPr="00336646" w:rsidRDefault="00272D07" w:rsidP="009228D4">
      <w:pPr>
        <w:pStyle w:val="Bryan"/>
        <w:spacing w:line="228" w:lineRule="auto"/>
        <w:ind w:left="-360" w:right="-634" w:hanging="274"/>
        <w:jc w:val="both"/>
        <w:rPr>
          <w:rFonts w:asciiTheme="minorHAnsi" w:hAnsiTheme="minorHAnsi" w:cstheme="minorHAnsi"/>
          <w:spacing w:val="-2"/>
          <w:sz w:val="22"/>
          <w:szCs w:val="22"/>
        </w:rPr>
      </w:pPr>
      <w:r w:rsidRPr="00336646">
        <w:rPr>
          <w:rFonts w:asciiTheme="minorHAnsi" w:hAnsiTheme="minorHAnsi" w:cstheme="minorHAnsi"/>
          <w:spacing w:val="-2"/>
          <w:sz w:val="22"/>
          <w:szCs w:val="22"/>
        </w:rPr>
        <w:t>i.</w:t>
      </w:r>
      <w:r w:rsidRPr="00336646">
        <w:rPr>
          <w:rFonts w:asciiTheme="minorHAnsi" w:hAnsiTheme="minorHAnsi" w:cstheme="minorHAnsi"/>
          <w:spacing w:val="-2"/>
          <w:sz w:val="22"/>
          <w:szCs w:val="22"/>
        </w:rPr>
        <w:tab/>
        <w:t xml:space="preserve">Any new documents or other evidence (video, audio, etc.) not previously exchanged for the Settlement Conference but intended to be introduced at the Enforcement Hearing shall be provided to the Ombudsman (who shall immediately forward to the </w:t>
      </w:r>
      <w:r w:rsidR="00717CA0">
        <w:rPr>
          <w:rFonts w:asciiTheme="minorHAnsi" w:hAnsiTheme="minorHAnsi" w:cstheme="minorHAnsi"/>
          <w:spacing w:val="-2"/>
          <w:sz w:val="22"/>
          <w:szCs w:val="22"/>
        </w:rPr>
        <w:t xml:space="preserve">opposing </w:t>
      </w:r>
      <w:r w:rsidRPr="00336646">
        <w:rPr>
          <w:rFonts w:asciiTheme="minorHAnsi" w:hAnsiTheme="minorHAnsi" w:cstheme="minorHAnsi"/>
          <w:spacing w:val="-2"/>
          <w:sz w:val="22"/>
          <w:szCs w:val="22"/>
        </w:rPr>
        <w:t xml:space="preserve">party) a minimum of three (3) business days prior to the day of the hearing, or, if scheduling requires, as much in advance as possible. At the Enforcement Hearing, on the Ombudsman’s own initiative, or on the </w:t>
      </w:r>
      <w:r w:rsidR="00952227">
        <w:rPr>
          <w:rFonts w:asciiTheme="minorHAnsi" w:hAnsiTheme="minorHAnsi" w:cstheme="minorHAnsi"/>
          <w:spacing w:val="-2"/>
          <w:sz w:val="22"/>
          <w:szCs w:val="22"/>
        </w:rPr>
        <w:t>successful objection</w:t>
      </w:r>
      <w:r w:rsidRPr="00336646">
        <w:rPr>
          <w:rFonts w:asciiTheme="minorHAnsi" w:hAnsiTheme="minorHAnsi" w:cstheme="minorHAnsi"/>
          <w:spacing w:val="-2"/>
          <w:sz w:val="22"/>
          <w:szCs w:val="22"/>
        </w:rPr>
        <w:t xml:space="preserve"> of a party, the Ombudsman may exclude from evidence any document or other physical evidence not provided by the offering party sufficiently in advance, if the ability of the opposing party to effectively respond is judged to be substantially impaired. Arguments of the parties shall be heard on this issue prior to the Ombudsman’s decision to exclude or admit the evidence.</w:t>
      </w:r>
    </w:p>
    <w:p w14:paraId="1B9F2367" w14:textId="77777777" w:rsidR="00272D07" w:rsidRPr="00336646" w:rsidRDefault="00272D07" w:rsidP="009228D4">
      <w:pPr>
        <w:pStyle w:val="Bryan"/>
        <w:spacing w:line="228" w:lineRule="auto"/>
        <w:ind w:left="-360" w:right="-634" w:hanging="274"/>
        <w:jc w:val="both"/>
        <w:rPr>
          <w:rFonts w:asciiTheme="minorHAnsi" w:hAnsiTheme="minorHAnsi" w:cstheme="minorHAnsi"/>
          <w:spacing w:val="-2"/>
          <w:sz w:val="22"/>
          <w:szCs w:val="22"/>
        </w:rPr>
      </w:pPr>
    </w:p>
    <w:p w14:paraId="431DE3DC" w14:textId="2753E304" w:rsidR="00272D07" w:rsidRPr="00336646" w:rsidRDefault="00272D07" w:rsidP="009228D4">
      <w:pPr>
        <w:pStyle w:val="Bryan"/>
        <w:spacing w:line="228" w:lineRule="auto"/>
        <w:ind w:left="-360" w:right="-634" w:hanging="274"/>
        <w:jc w:val="both"/>
        <w:rPr>
          <w:rFonts w:asciiTheme="minorHAnsi" w:hAnsiTheme="minorHAnsi" w:cstheme="minorHAnsi"/>
          <w:spacing w:val="-2"/>
          <w:sz w:val="22"/>
          <w:szCs w:val="22"/>
        </w:rPr>
      </w:pPr>
      <w:r w:rsidRPr="00336646">
        <w:rPr>
          <w:rFonts w:asciiTheme="minorHAnsi" w:hAnsiTheme="minorHAnsi" w:cstheme="minorHAnsi"/>
          <w:spacing w:val="-2"/>
          <w:sz w:val="22"/>
          <w:szCs w:val="22"/>
        </w:rPr>
        <w:t>j.</w:t>
      </w:r>
      <w:r w:rsidRPr="00336646">
        <w:rPr>
          <w:rFonts w:asciiTheme="minorHAnsi" w:hAnsiTheme="minorHAnsi" w:cstheme="minorHAnsi"/>
          <w:spacing w:val="-2"/>
          <w:sz w:val="22"/>
          <w:szCs w:val="22"/>
        </w:rPr>
        <w:tab/>
        <w:t xml:space="preserve">Following the full presentations </w:t>
      </w:r>
      <w:r w:rsidR="000B094C">
        <w:rPr>
          <w:rFonts w:asciiTheme="minorHAnsi" w:hAnsiTheme="minorHAnsi" w:cstheme="minorHAnsi"/>
          <w:spacing w:val="-2"/>
          <w:sz w:val="22"/>
          <w:szCs w:val="22"/>
        </w:rPr>
        <w:t xml:space="preserve">(which may include brief opening statements) </w:t>
      </w:r>
      <w:r w:rsidRPr="00336646">
        <w:rPr>
          <w:rFonts w:asciiTheme="minorHAnsi" w:hAnsiTheme="minorHAnsi" w:cstheme="minorHAnsi"/>
          <w:spacing w:val="-2"/>
          <w:sz w:val="22"/>
          <w:szCs w:val="22"/>
        </w:rPr>
        <w:t xml:space="preserve">of both the private school (which presents its case first) and the LEA (which presents its case second), the Ombudsman shall ask if the private school representative requests any </w:t>
      </w:r>
      <w:r w:rsidRPr="008D5EE6">
        <w:rPr>
          <w:rFonts w:asciiTheme="minorHAnsi" w:hAnsiTheme="minorHAnsi" w:cstheme="minorHAnsi"/>
          <w:spacing w:val="-2"/>
          <w:sz w:val="22"/>
          <w:szCs w:val="22"/>
        </w:rPr>
        <w:t>rebuttal testimony</w:t>
      </w:r>
      <w:r w:rsidRPr="00336646">
        <w:rPr>
          <w:rFonts w:asciiTheme="minorHAnsi" w:hAnsiTheme="minorHAnsi" w:cstheme="minorHAnsi"/>
          <w:spacing w:val="-2"/>
          <w:sz w:val="22"/>
          <w:szCs w:val="22"/>
        </w:rPr>
        <w:t xml:space="preserve"> (the summoning or recalling of a witness by the private school, the sole intended purpose of which is to contradict specific evidence offered by the LEA). If rebuttal testimony is requested, the Ombudsman shall ask the requesting representative (or legal counsel) for a summary of the expected testimony.</w:t>
      </w:r>
      <w:r w:rsidR="0052190B">
        <w:rPr>
          <w:rFonts w:asciiTheme="minorHAnsi" w:hAnsiTheme="minorHAnsi" w:cstheme="minorHAnsi"/>
          <w:spacing w:val="-2"/>
          <w:sz w:val="22"/>
          <w:szCs w:val="22"/>
        </w:rPr>
        <w:t xml:space="preserve"> </w:t>
      </w:r>
      <w:r w:rsidRPr="00336646">
        <w:rPr>
          <w:rFonts w:asciiTheme="minorHAnsi" w:hAnsiTheme="minorHAnsi" w:cstheme="minorHAnsi"/>
          <w:spacing w:val="-2"/>
          <w:sz w:val="22"/>
          <w:szCs w:val="22"/>
        </w:rPr>
        <w:t>The Ombudsman shall only allow the testimony if concluding that it will neither be repetitive of prior testimony nor irrelevant, and that the rebuttal testimony will not introduce matters unrelated to the specific contradiction of prior evidence</w:t>
      </w:r>
      <w:r w:rsidRPr="001B25F0">
        <w:rPr>
          <w:rFonts w:asciiTheme="minorHAnsi" w:hAnsiTheme="minorHAnsi" w:cstheme="minorHAnsi"/>
          <w:spacing w:val="-2"/>
          <w:sz w:val="22"/>
          <w:szCs w:val="22"/>
        </w:rPr>
        <w:t>.</w:t>
      </w:r>
      <w:r w:rsidR="008D5EE6" w:rsidRPr="001B25F0">
        <w:rPr>
          <w:rFonts w:asciiTheme="minorHAnsi" w:hAnsiTheme="minorHAnsi" w:cstheme="minorHAnsi"/>
          <w:spacing w:val="-2"/>
          <w:sz w:val="22"/>
          <w:szCs w:val="22"/>
        </w:rPr>
        <w:t xml:space="preserve"> </w:t>
      </w:r>
      <w:bookmarkStart w:id="2" w:name="_Hlk497733671"/>
      <w:r w:rsidR="008D5EE6" w:rsidRPr="001B25F0">
        <w:rPr>
          <w:rFonts w:asciiTheme="minorHAnsi" w:hAnsiTheme="minorHAnsi" w:cstheme="minorHAnsi"/>
          <w:spacing w:val="-2"/>
          <w:sz w:val="22"/>
          <w:szCs w:val="22"/>
        </w:rPr>
        <w:t>Following all testimony, the LEA, followed by the private school, may make closing arguments.</w:t>
      </w:r>
      <w:bookmarkEnd w:id="2"/>
      <w:r w:rsidR="00F00641">
        <w:rPr>
          <w:rFonts w:asciiTheme="minorHAnsi" w:hAnsiTheme="minorHAnsi" w:cstheme="minorHAnsi"/>
          <w:spacing w:val="-2"/>
          <w:sz w:val="22"/>
          <w:szCs w:val="22"/>
        </w:rPr>
        <w:t xml:space="preserve"> Each party shall be allowed 15 minutes for this closing.</w:t>
      </w:r>
      <w:r w:rsidR="008D5EE6">
        <w:rPr>
          <w:rFonts w:asciiTheme="minorHAnsi" w:hAnsiTheme="minorHAnsi" w:cstheme="minorHAnsi"/>
          <w:spacing w:val="-2"/>
          <w:sz w:val="22"/>
          <w:szCs w:val="22"/>
        </w:rPr>
        <w:t xml:space="preserve"> </w:t>
      </w:r>
    </w:p>
    <w:p w14:paraId="6CBB46A9"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highlight w:val="yellow"/>
        </w:rPr>
      </w:pPr>
    </w:p>
    <w:p w14:paraId="6792B621"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r w:rsidRPr="00336646">
        <w:rPr>
          <w:rFonts w:asciiTheme="minorHAnsi" w:hAnsiTheme="minorHAnsi" w:cstheme="minorHAnsi"/>
          <w:spacing w:val="-2"/>
          <w:sz w:val="22"/>
          <w:szCs w:val="22"/>
        </w:rPr>
        <w:t>k.</w:t>
      </w:r>
      <w:r w:rsidRPr="00336646">
        <w:rPr>
          <w:rFonts w:asciiTheme="minorHAnsi" w:hAnsiTheme="minorHAnsi" w:cstheme="minorHAnsi"/>
          <w:spacing w:val="-2"/>
          <w:sz w:val="22"/>
          <w:szCs w:val="22"/>
        </w:rPr>
        <w:tab/>
        <w:t>The Ombudsman shall arrange for a transcript of the Enforcement Hearing to be taken by a court reporter, or via sufficient digital audio and/or digital video. The transcript recording shall not be broadcast. No other recording or broadcasting of the hearing shall be permitted.</w:t>
      </w:r>
    </w:p>
    <w:p w14:paraId="02621032" w14:textId="77777777" w:rsidR="00272D07" w:rsidRPr="00336646" w:rsidRDefault="00272D07" w:rsidP="00E422D5">
      <w:pPr>
        <w:pStyle w:val="Bryan"/>
        <w:spacing w:line="228" w:lineRule="auto"/>
        <w:ind w:left="-360" w:right="-630" w:hanging="270"/>
        <w:jc w:val="both"/>
        <w:rPr>
          <w:rFonts w:asciiTheme="minorHAnsi" w:hAnsiTheme="minorHAnsi" w:cstheme="minorHAnsi"/>
          <w:spacing w:val="-2"/>
          <w:sz w:val="22"/>
          <w:szCs w:val="22"/>
        </w:rPr>
      </w:pPr>
    </w:p>
    <w:p w14:paraId="0713F97A" w14:textId="77777777" w:rsidR="00624832" w:rsidRDefault="00272D07" w:rsidP="00E422D5">
      <w:pPr>
        <w:spacing w:line="228" w:lineRule="auto"/>
        <w:ind w:left="-360" w:right="-630" w:hanging="270"/>
        <w:jc w:val="both"/>
        <w:rPr>
          <w:rFonts w:cstheme="minorHAnsi"/>
          <w:spacing w:val="-2"/>
        </w:rPr>
      </w:pPr>
      <w:r w:rsidRPr="00336646">
        <w:rPr>
          <w:rFonts w:cstheme="minorHAnsi"/>
          <w:spacing w:val="-2"/>
        </w:rPr>
        <w:t>l.</w:t>
      </w:r>
      <w:r w:rsidRPr="00336646">
        <w:rPr>
          <w:rFonts w:cstheme="minorHAnsi"/>
          <w:spacing w:val="-2"/>
        </w:rPr>
        <w:tab/>
        <w:t>The highest level of civil decorum is required of all participants at the hearing. The Ombudsman may warn, and subsequently expel, any individual exhibiting unabated disruptive or uncivil behavior. The Ombudsman may preemptively close the hearing should any individual disrupt the hearing to the extent proceeding becomes impractical in the Ombudsman’s judgement, in which case a negative inference will be taken against the party associated with the disruptive individual</w:t>
      </w:r>
      <w:bookmarkEnd w:id="0"/>
      <w:r w:rsidR="0052190B">
        <w:rPr>
          <w:rFonts w:cstheme="minorHAnsi"/>
          <w:spacing w:val="-2"/>
        </w:rPr>
        <w:t>.</w:t>
      </w:r>
      <w:bookmarkStart w:id="3" w:name="_GoBack"/>
      <w:bookmarkEnd w:id="3"/>
    </w:p>
    <w:sectPr w:rsidR="00624832" w:rsidSect="00313204">
      <w:head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A522" w14:textId="77777777" w:rsidR="00877C6D" w:rsidRDefault="00877C6D" w:rsidP="00877C6D">
      <w:pPr>
        <w:spacing w:after="0" w:line="240" w:lineRule="auto"/>
      </w:pPr>
      <w:r>
        <w:separator/>
      </w:r>
    </w:p>
  </w:endnote>
  <w:endnote w:type="continuationSeparator" w:id="0">
    <w:p w14:paraId="66CF080B" w14:textId="77777777" w:rsidR="00877C6D" w:rsidRDefault="00877C6D" w:rsidP="0087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95A06" w14:textId="77777777" w:rsidR="00877C6D" w:rsidRDefault="00877C6D" w:rsidP="00877C6D">
      <w:pPr>
        <w:spacing w:after="0" w:line="240" w:lineRule="auto"/>
      </w:pPr>
      <w:r>
        <w:separator/>
      </w:r>
    </w:p>
  </w:footnote>
  <w:footnote w:type="continuationSeparator" w:id="0">
    <w:p w14:paraId="3BE6DE74" w14:textId="77777777" w:rsidR="00877C6D" w:rsidRDefault="00877C6D" w:rsidP="0087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0" w:type="dxa"/>
      <w:tblInd w:w="-635" w:type="dxa"/>
      <w:tblBorders>
        <w:top w:val="none" w:sz="0" w:space="0" w:color="auto"/>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060"/>
      <w:gridCol w:w="4500"/>
      <w:gridCol w:w="3060"/>
    </w:tblGrid>
    <w:tr w:rsidR="002553C6" w14:paraId="6439E941" w14:textId="77777777" w:rsidTr="003572E0">
      <w:trPr>
        <w:trHeight w:val="623"/>
      </w:trPr>
      <w:tc>
        <w:tcPr>
          <w:tcW w:w="3060" w:type="dxa"/>
          <w:vMerge w:val="restart"/>
        </w:tcPr>
        <w:p w14:paraId="24B11583" w14:textId="77777777" w:rsidR="002553C6" w:rsidRDefault="002553C6" w:rsidP="00AB38AA">
          <w:pPr>
            <w:pStyle w:val="Header"/>
            <w:tabs>
              <w:tab w:val="clear" w:pos="9360"/>
            </w:tabs>
          </w:pPr>
          <w:r w:rsidRPr="00507AE8">
            <w:rPr>
              <w:rFonts w:cstheme="minorHAnsi"/>
              <w:noProof/>
            </w:rPr>
            <w:drawing>
              <wp:inline distT="0" distB="0" distL="0" distR="0" wp14:anchorId="1C15A9C0" wp14:editId="061DFBFA">
                <wp:extent cx="1724025" cy="723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a:extLst/>
                      </pic:spPr>
                    </pic:pic>
                  </a:graphicData>
                </a:graphic>
              </wp:inline>
            </w:drawing>
          </w:r>
        </w:p>
        <w:p w14:paraId="389311CA" w14:textId="77777777" w:rsidR="002553C6" w:rsidRPr="002755F6" w:rsidRDefault="002553C6" w:rsidP="00AB38AA">
          <w:pPr>
            <w:pStyle w:val="Header"/>
            <w:tabs>
              <w:tab w:val="clear" w:pos="9360"/>
            </w:tabs>
            <w:rPr>
              <w:sz w:val="8"/>
            </w:rPr>
          </w:pPr>
        </w:p>
      </w:tc>
      <w:tc>
        <w:tcPr>
          <w:tcW w:w="4500" w:type="dxa"/>
          <w:tcBorders>
            <w:top w:val="nil"/>
            <w:bottom w:val="single" w:sz="4" w:space="0" w:color="C00000"/>
          </w:tcBorders>
          <w:vAlign w:val="center"/>
        </w:tcPr>
        <w:p w14:paraId="7D1E4BFE" w14:textId="77777777" w:rsidR="002553C6" w:rsidRPr="009D4049" w:rsidRDefault="002553C6" w:rsidP="009228D4">
          <w:pPr>
            <w:pStyle w:val="Header"/>
            <w:spacing w:line="228" w:lineRule="auto"/>
            <w:jc w:val="center"/>
            <w:rPr>
              <w:rFonts w:cstheme="minorHAnsi"/>
              <w:color w:val="002060"/>
            </w:rPr>
          </w:pPr>
          <w:r w:rsidRPr="009D4049">
            <w:rPr>
              <w:rFonts w:cstheme="minorHAnsi"/>
              <w:color w:val="002060"/>
            </w:rPr>
            <w:t>Equitable Services</w:t>
          </w:r>
        </w:p>
        <w:p w14:paraId="0E5658C5" w14:textId="77777777" w:rsidR="002553C6" w:rsidRPr="00707F10" w:rsidRDefault="002553C6" w:rsidP="009228D4">
          <w:pPr>
            <w:pStyle w:val="Header"/>
            <w:spacing w:line="228" w:lineRule="auto"/>
            <w:jc w:val="center"/>
            <w:rPr>
              <w:rFonts w:ascii="Times New Roman" w:hAnsi="Times New Roman" w:cs="Times New Roman"/>
              <w:b/>
              <w:color w:val="002060"/>
              <w:sz w:val="24"/>
            </w:rPr>
          </w:pPr>
          <w:r w:rsidRPr="009D4049">
            <w:rPr>
              <w:rFonts w:cstheme="minorHAnsi"/>
              <w:color w:val="002060"/>
            </w:rPr>
            <w:t>Dispute Resolution Procedure</w:t>
          </w:r>
        </w:p>
      </w:tc>
      <w:tc>
        <w:tcPr>
          <w:tcW w:w="3060" w:type="dxa"/>
          <w:tcBorders>
            <w:top w:val="nil"/>
          </w:tcBorders>
        </w:tcPr>
        <w:p w14:paraId="21983D08" w14:textId="77777777" w:rsidR="002553C6" w:rsidRPr="00B10C62" w:rsidRDefault="002553C6" w:rsidP="00AB38AA">
          <w:pPr>
            <w:pStyle w:val="Header"/>
            <w:jc w:val="right"/>
            <w:rPr>
              <w:rFonts w:ascii="Times New Roman" w:hAnsi="Times New Roman" w:cs="Times New Roman"/>
              <w:color w:val="002060"/>
              <w:sz w:val="4"/>
              <w:szCs w:val="20"/>
            </w:rPr>
          </w:pPr>
        </w:p>
        <w:p w14:paraId="686A2FF9" w14:textId="77777777" w:rsidR="002553C6" w:rsidRPr="009D4049" w:rsidRDefault="002553C6" w:rsidP="009228D4">
          <w:pPr>
            <w:pStyle w:val="Header"/>
            <w:spacing w:line="228" w:lineRule="auto"/>
            <w:jc w:val="right"/>
            <w:rPr>
              <w:rFonts w:cstheme="minorHAnsi"/>
              <w:color w:val="002060"/>
              <w:sz w:val="24"/>
              <w:szCs w:val="20"/>
            </w:rPr>
          </w:pPr>
          <w:r w:rsidRPr="009D4049">
            <w:rPr>
              <w:rFonts w:cstheme="minorHAnsi"/>
              <w:color w:val="002060"/>
              <w:sz w:val="24"/>
              <w:szCs w:val="20"/>
            </w:rPr>
            <w:t>ESDRP Form 4</w:t>
          </w:r>
        </w:p>
        <w:p w14:paraId="4CBF5C04" w14:textId="77777777" w:rsidR="002553C6" w:rsidRPr="009D4049" w:rsidRDefault="002553C6" w:rsidP="003572E0">
          <w:pPr>
            <w:pStyle w:val="Header"/>
            <w:spacing w:line="228" w:lineRule="auto"/>
            <w:jc w:val="right"/>
            <w:rPr>
              <w:rFonts w:cstheme="minorHAnsi"/>
              <w:color w:val="002060"/>
              <w:sz w:val="20"/>
              <w:szCs w:val="20"/>
            </w:rPr>
          </w:pPr>
          <w:r w:rsidRPr="009D4049">
            <w:rPr>
              <w:rFonts w:cstheme="minorHAnsi"/>
              <w:color w:val="002060"/>
              <w:sz w:val="20"/>
              <w:szCs w:val="20"/>
            </w:rPr>
            <w:t>Notice of Enforcement Hearing</w:t>
          </w:r>
        </w:p>
      </w:tc>
    </w:tr>
    <w:tr w:rsidR="002553C6" w14:paraId="44DAAC01" w14:textId="77777777" w:rsidTr="002553C6">
      <w:trPr>
        <w:trHeight w:val="315"/>
      </w:trPr>
      <w:tc>
        <w:tcPr>
          <w:tcW w:w="3060" w:type="dxa"/>
          <w:vMerge/>
        </w:tcPr>
        <w:p w14:paraId="1CB660B8" w14:textId="77777777" w:rsidR="002553C6" w:rsidRPr="00507AE8" w:rsidRDefault="002553C6" w:rsidP="00AB38AA">
          <w:pPr>
            <w:pStyle w:val="Header"/>
            <w:tabs>
              <w:tab w:val="clear" w:pos="9360"/>
            </w:tabs>
            <w:rPr>
              <w:rFonts w:cstheme="minorHAnsi"/>
              <w:noProof/>
            </w:rPr>
          </w:pPr>
        </w:p>
      </w:tc>
      <w:tc>
        <w:tcPr>
          <w:tcW w:w="4500" w:type="dxa"/>
          <w:vMerge w:val="restart"/>
          <w:tcBorders>
            <w:top w:val="single" w:sz="4" w:space="0" w:color="C00000"/>
          </w:tcBorders>
          <w:vAlign w:val="center"/>
        </w:tcPr>
        <w:p w14:paraId="1BA94139" w14:textId="77777777" w:rsidR="002553C6" w:rsidRPr="009D4049" w:rsidRDefault="002553C6" w:rsidP="00A3463A">
          <w:pPr>
            <w:pStyle w:val="Header"/>
            <w:jc w:val="center"/>
            <w:rPr>
              <w:rFonts w:cstheme="minorHAnsi"/>
              <w:b/>
              <w:color w:val="002060"/>
              <w:sz w:val="24"/>
              <w:szCs w:val="24"/>
            </w:rPr>
          </w:pPr>
          <w:r w:rsidRPr="009D4049">
            <w:rPr>
              <w:rFonts w:cstheme="minorHAnsi"/>
              <w:b/>
              <w:color w:val="002060"/>
              <w:sz w:val="24"/>
              <w:szCs w:val="24"/>
            </w:rPr>
            <w:t>Notice of Enforcement Hearing</w:t>
          </w:r>
        </w:p>
      </w:tc>
      <w:tc>
        <w:tcPr>
          <w:tcW w:w="3060" w:type="dxa"/>
          <w:tcBorders>
            <w:top w:val="single" w:sz="4" w:space="0" w:color="C00000"/>
            <w:bottom w:val="single" w:sz="4" w:space="0" w:color="C00000"/>
          </w:tcBorders>
          <w:vAlign w:val="center"/>
        </w:tcPr>
        <w:p w14:paraId="4737DB08" w14:textId="77777777" w:rsidR="002553C6" w:rsidRPr="002553C6" w:rsidRDefault="002553C6" w:rsidP="002553C6">
          <w:pPr>
            <w:pStyle w:val="Header"/>
            <w:rPr>
              <w:rFonts w:cstheme="minorHAnsi"/>
              <w:color w:val="002060"/>
              <w:sz w:val="20"/>
              <w:szCs w:val="20"/>
            </w:rPr>
          </w:pPr>
          <w:r w:rsidRPr="002553C6">
            <w:rPr>
              <w:rFonts w:cstheme="minorHAnsi"/>
              <w:color w:val="002060"/>
              <w:sz w:val="18"/>
              <w:szCs w:val="20"/>
            </w:rPr>
            <w:t>Date emailed to parties:</w:t>
          </w:r>
          <w:r>
            <w:rPr>
              <w:rFonts w:cstheme="minorHAnsi"/>
              <w:color w:val="002060"/>
              <w:sz w:val="20"/>
              <w:szCs w:val="20"/>
            </w:rPr>
            <w:t xml:space="preserve"> </w:t>
          </w:r>
          <w:r w:rsidRPr="002553C6">
            <w:rPr>
              <w:rFonts w:cstheme="minorHAnsi"/>
              <w:sz w:val="18"/>
              <w:szCs w:val="20"/>
            </w:rPr>
            <w:t>mm/dd/yyyy</w:t>
          </w:r>
        </w:p>
      </w:tc>
    </w:tr>
    <w:tr w:rsidR="002553C6" w14:paraId="292DDDB5" w14:textId="77777777" w:rsidTr="002553C6">
      <w:trPr>
        <w:trHeight w:val="292"/>
      </w:trPr>
      <w:tc>
        <w:tcPr>
          <w:tcW w:w="3060" w:type="dxa"/>
          <w:vMerge/>
        </w:tcPr>
        <w:p w14:paraId="140583FF" w14:textId="77777777" w:rsidR="002553C6" w:rsidRPr="00507AE8" w:rsidRDefault="002553C6" w:rsidP="00AB38AA">
          <w:pPr>
            <w:pStyle w:val="Header"/>
            <w:tabs>
              <w:tab w:val="clear" w:pos="9360"/>
            </w:tabs>
            <w:rPr>
              <w:rFonts w:cstheme="minorHAnsi"/>
              <w:noProof/>
            </w:rPr>
          </w:pPr>
        </w:p>
      </w:tc>
      <w:tc>
        <w:tcPr>
          <w:tcW w:w="4500" w:type="dxa"/>
          <w:vMerge/>
          <w:vAlign w:val="center"/>
        </w:tcPr>
        <w:p w14:paraId="32A59B1D" w14:textId="77777777" w:rsidR="002553C6" w:rsidRPr="009D4049" w:rsidRDefault="002553C6" w:rsidP="00A3463A">
          <w:pPr>
            <w:pStyle w:val="Header"/>
            <w:jc w:val="center"/>
            <w:rPr>
              <w:rFonts w:cstheme="minorHAnsi"/>
              <w:b/>
              <w:color w:val="002060"/>
              <w:sz w:val="24"/>
              <w:szCs w:val="24"/>
            </w:rPr>
          </w:pPr>
        </w:p>
      </w:tc>
      <w:tc>
        <w:tcPr>
          <w:tcW w:w="3060" w:type="dxa"/>
          <w:tcBorders>
            <w:top w:val="single" w:sz="4" w:space="0" w:color="C00000"/>
          </w:tcBorders>
          <w:vAlign w:val="center"/>
        </w:tcPr>
        <w:p w14:paraId="163C7A55" w14:textId="77777777" w:rsidR="002553C6" w:rsidRPr="00923557" w:rsidRDefault="002553C6" w:rsidP="002553C6">
          <w:pPr>
            <w:pStyle w:val="Header"/>
            <w:rPr>
              <w:rFonts w:cstheme="minorHAnsi"/>
              <w:color w:val="002060"/>
              <w:sz w:val="18"/>
              <w:szCs w:val="20"/>
            </w:rPr>
          </w:pPr>
          <w:r w:rsidRPr="00923557">
            <w:rPr>
              <w:rFonts w:cstheme="minorHAnsi"/>
              <w:color w:val="002060"/>
              <w:sz w:val="18"/>
              <w:szCs w:val="20"/>
            </w:rPr>
            <w:t xml:space="preserve">Case Number: </w:t>
          </w:r>
          <w:r w:rsidRPr="00923557">
            <w:rPr>
              <w:rFonts w:cstheme="minorHAnsi"/>
              <w:sz w:val="18"/>
              <w:szCs w:val="20"/>
            </w:rPr>
            <w:t>__ - (20xx-xx)</w:t>
          </w:r>
        </w:p>
      </w:tc>
    </w:tr>
  </w:tbl>
  <w:p w14:paraId="5F9F1F86" w14:textId="77777777" w:rsidR="00924BA1" w:rsidRDefault="006F5F85" w:rsidP="00352D58">
    <w:pPr>
      <w:pStyle w:val="Header"/>
      <w:tabs>
        <w:tab w:val="clear" w:pos="9360"/>
      </w:tabs>
      <w:ind w:right="-63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20"/>
    <w:rsid w:val="000150C7"/>
    <w:rsid w:val="000912C9"/>
    <w:rsid w:val="000B094C"/>
    <w:rsid w:val="00131C7C"/>
    <w:rsid w:val="00153D26"/>
    <w:rsid w:val="00164435"/>
    <w:rsid w:val="00167F27"/>
    <w:rsid w:val="001B25F0"/>
    <w:rsid w:val="001D6A07"/>
    <w:rsid w:val="001E2372"/>
    <w:rsid w:val="002553C6"/>
    <w:rsid w:val="002727AB"/>
    <w:rsid w:val="00272D07"/>
    <w:rsid w:val="002C131E"/>
    <w:rsid w:val="002C1CFD"/>
    <w:rsid w:val="002F4D3D"/>
    <w:rsid w:val="00352D58"/>
    <w:rsid w:val="003572E0"/>
    <w:rsid w:val="00397F73"/>
    <w:rsid w:val="003B1A69"/>
    <w:rsid w:val="003E1303"/>
    <w:rsid w:val="00446F97"/>
    <w:rsid w:val="0052190B"/>
    <w:rsid w:val="005240FE"/>
    <w:rsid w:val="005272A3"/>
    <w:rsid w:val="00590D9A"/>
    <w:rsid w:val="00624832"/>
    <w:rsid w:val="00693DB2"/>
    <w:rsid w:val="006C619A"/>
    <w:rsid w:val="006F5F85"/>
    <w:rsid w:val="00717CA0"/>
    <w:rsid w:val="0074641D"/>
    <w:rsid w:val="007A0DBE"/>
    <w:rsid w:val="007A419F"/>
    <w:rsid w:val="008555A2"/>
    <w:rsid w:val="008746E0"/>
    <w:rsid w:val="00877C6D"/>
    <w:rsid w:val="008D5EE6"/>
    <w:rsid w:val="00912420"/>
    <w:rsid w:val="00915D4B"/>
    <w:rsid w:val="009228D4"/>
    <w:rsid w:val="00923557"/>
    <w:rsid w:val="00952227"/>
    <w:rsid w:val="00961B14"/>
    <w:rsid w:val="009D4049"/>
    <w:rsid w:val="00AC38EB"/>
    <w:rsid w:val="00AD74EC"/>
    <w:rsid w:val="00AE5001"/>
    <w:rsid w:val="00B7140C"/>
    <w:rsid w:val="00B96CF5"/>
    <w:rsid w:val="00C638A9"/>
    <w:rsid w:val="00CE6A87"/>
    <w:rsid w:val="00D53018"/>
    <w:rsid w:val="00D75587"/>
    <w:rsid w:val="00DC2DA4"/>
    <w:rsid w:val="00DF5AD6"/>
    <w:rsid w:val="00E06645"/>
    <w:rsid w:val="00E31CCC"/>
    <w:rsid w:val="00E422D5"/>
    <w:rsid w:val="00E42D4F"/>
    <w:rsid w:val="00E638BB"/>
    <w:rsid w:val="00E93FEC"/>
    <w:rsid w:val="00EB6B17"/>
    <w:rsid w:val="00EE472C"/>
    <w:rsid w:val="00F00641"/>
    <w:rsid w:val="00F53178"/>
    <w:rsid w:val="00F80D63"/>
    <w:rsid w:val="00FC24A6"/>
    <w:rsid w:val="00FD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D11102"/>
  <w15:chartTrackingRefBased/>
  <w15:docId w15:val="{E53513E6-3F97-4046-8979-2652F759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Title"/>
    <w:link w:val="BryanChar"/>
    <w:qFormat/>
    <w:rsid w:val="00693DB2"/>
    <w:rPr>
      <w:rFonts w:ascii="Times New Roman" w:hAnsi="Times New Roman"/>
      <w:sz w:val="24"/>
    </w:rPr>
  </w:style>
  <w:style w:type="character" w:customStyle="1" w:styleId="BryanChar">
    <w:name w:val="Bryan Char"/>
    <w:basedOn w:val="TitleChar"/>
    <w:link w:val="Bryan"/>
    <w:rsid w:val="00693DB2"/>
    <w:rPr>
      <w:rFonts w:ascii="Times New Roman" w:eastAsiaTheme="majorEastAsia" w:hAnsi="Times New Roman" w:cstheme="majorBidi"/>
      <w:spacing w:val="-10"/>
      <w:kern w:val="28"/>
      <w:sz w:val="24"/>
      <w:szCs w:val="56"/>
    </w:rPr>
  </w:style>
  <w:style w:type="paragraph" w:styleId="Title">
    <w:name w:val="Title"/>
    <w:basedOn w:val="Normal"/>
    <w:next w:val="Normal"/>
    <w:link w:val="TitleChar"/>
    <w:uiPriority w:val="10"/>
    <w:qFormat/>
    <w:rsid w:val="00693D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12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420"/>
  </w:style>
  <w:style w:type="paragraph" w:styleId="Footer">
    <w:name w:val="footer"/>
    <w:basedOn w:val="Normal"/>
    <w:link w:val="FooterChar"/>
    <w:uiPriority w:val="99"/>
    <w:unhideWhenUsed/>
    <w:rsid w:val="0087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6D"/>
  </w:style>
  <w:style w:type="paragraph" w:styleId="FootnoteText">
    <w:name w:val="footnote text"/>
    <w:basedOn w:val="Normal"/>
    <w:link w:val="FootnoteTextChar"/>
    <w:uiPriority w:val="99"/>
    <w:semiHidden/>
    <w:unhideWhenUsed/>
    <w:rsid w:val="00855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5A2"/>
    <w:rPr>
      <w:sz w:val="20"/>
      <w:szCs w:val="20"/>
    </w:rPr>
  </w:style>
  <w:style w:type="character" w:styleId="FootnoteReference">
    <w:name w:val="footnote reference"/>
    <w:basedOn w:val="DefaultParagraphFont"/>
    <w:uiPriority w:val="99"/>
    <w:semiHidden/>
    <w:unhideWhenUsed/>
    <w:rsid w:val="00855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2</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Bryan Lieb</cp:lastModifiedBy>
  <cp:revision>32</cp:revision>
  <cp:lastPrinted>2017-11-14T19:30:00Z</cp:lastPrinted>
  <dcterms:created xsi:type="dcterms:W3CDTF">2017-11-06T15:30:00Z</dcterms:created>
  <dcterms:modified xsi:type="dcterms:W3CDTF">2018-05-18T21:24:00Z</dcterms:modified>
</cp:coreProperties>
</file>