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31D8" w14:textId="77777777" w:rsidR="00A52DBB" w:rsidRPr="00C91AF7" w:rsidRDefault="00A52DBB" w:rsidP="00A52DBB">
      <w:pPr>
        <w:ind w:right="-360"/>
        <w:contextualSpacing/>
        <w:jc w:val="both"/>
        <w:rPr>
          <w:rFonts w:ascii="Times New Roman" w:hAnsi="Times New Roman" w:cs="Times New Roman"/>
          <w:b/>
          <w:spacing w:val="-2"/>
          <w:kern w:val="28"/>
          <w:szCs w:val="24"/>
        </w:rPr>
      </w:pPr>
      <w:bookmarkStart w:id="0" w:name="_GoBack"/>
      <w:bookmarkEnd w:id="0"/>
      <w:r w:rsidRPr="00C91AF7">
        <w:rPr>
          <w:rFonts w:ascii="Times New Roman" w:hAnsi="Times New Roman" w:cs="Times New Roman"/>
          <w:b/>
          <w:spacing w:val="-2"/>
          <w:kern w:val="28"/>
          <w:szCs w:val="24"/>
        </w:rPr>
        <w:t>Chapter 80 – Rule 80.4</w:t>
      </w:r>
    </w:p>
    <w:p w14:paraId="792D2573" w14:textId="77777777" w:rsidR="00A52DBB" w:rsidRPr="00C91AF7" w:rsidRDefault="00A52DBB" w:rsidP="00A52DBB">
      <w:pPr>
        <w:contextualSpacing/>
        <w:jc w:val="both"/>
        <w:rPr>
          <w:rFonts w:ascii="Times New Roman" w:hAnsi="Times New Roman" w:cs="Times New Roman"/>
          <w:b/>
          <w:spacing w:val="-2"/>
          <w:kern w:val="28"/>
          <w:szCs w:val="24"/>
        </w:rPr>
      </w:pPr>
      <w:r w:rsidRPr="00C91AF7">
        <w:rPr>
          <w:rFonts w:ascii="Times New Roman" w:hAnsi="Times New Roman" w:cs="Times New Roman"/>
          <w:b/>
          <w:spacing w:val="-2"/>
          <w:kern w:val="28"/>
          <w:szCs w:val="24"/>
        </w:rPr>
        <w:t>Every Student Succeeds Act: Equitable Services Dispute Resolution Policy</w:t>
      </w:r>
    </w:p>
    <w:p w14:paraId="5402A1E4" w14:textId="77777777" w:rsidR="00A52DBB" w:rsidRPr="00C91AF7" w:rsidRDefault="00A52DBB" w:rsidP="00A52DBB">
      <w:pPr>
        <w:spacing w:after="160" w:line="259" w:lineRule="auto"/>
        <w:jc w:val="both"/>
        <w:rPr>
          <w:rFonts w:ascii="Times New Roman" w:eastAsia="Calibri" w:hAnsi="Times New Roman" w:cs="Times New Roman"/>
          <w:szCs w:val="24"/>
        </w:rPr>
      </w:pPr>
      <w:r w:rsidRPr="00C91AF7">
        <w:rPr>
          <w:rFonts w:ascii="Times New Roman" w:eastAsia="Calibri" w:hAnsi="Times New Roman" w:cs="Times New Roman"/>
          <w:szCs w:val="24"/>
        </w:rPr>
        <w:t xml:space="preserve">Cite as: </w:t>
      </w:r>
      <w:r w:rsidRPr="00C91AF7">
        <w:rPr>
          <w:rFonts w:ascii="Times New Roman" w:eastAsia="Calibri" w:hAnsi="Times New Roman" w:cs="Times New Roman"/>
          <w:i/>
          <w:szCs w:val="24"/>
        </w:rPr>
        <w:t>Miss. Admin. Code</w:t>
      </w:r>
      <w:r w:rsidRPr="00C91AF7">
        <w:rPr>
          <w:rFonts w:ascii="Times New Roman" w:eastAsia="Calibri" w:hAnsi="Times New Roman" w:cs="Times New Roman"/>
          <w:szCs w:val="24"/>
        </w:rPr>
        <w:t xml:space="preserve"> 7-3:80.4, State Board Policy Chapter 80, Rule 80.4.</w:t>
      </w:r>
    </w:p>
    <w:p w14:paraId="04097E13" w14:textId="77777777" w:rsidR="00A52DBB" w:rsidRPr="00C91AF7" w:rsidRDefault="00A52DBB" w:rsidP="00A52DBB">
      <w:pPr>
        <w:spacing w:after="160" w:line="259" w:lineRule="auto"/>
        <w:jc w:val="both"/>
        <w:rPr>
          <w:rFonts w:ascii="Times New Roman" w:eastAsia="Calibri" w:hAnsi="Times New Roman" w:cs="Times New Roman"/>
          <w:szCs w:val="24"/>
        </w:rPr>
      </w:pPr>
    </w:p>
    <w:p w14:paraId="7B3654FF" w14:textId="77777777" w:rsidR="00A52DBB" w:rsidRPr="00C91AF7" w:rsidRDefault="00A52DBB" w:rsidP="00A52DBB">
      <w:pPr>
        <w:numPr>
          <w:ilvl w:val="0"/>
          <w:numId w:val="3"/>
        </w:numPr>
        <w:spacing w:after="160" w:line="259" w:lineRule="auto"/>
        <w:ind w:left="360"/>
        <w:contextualSpacing/>
        <w:jc w:val="both"/>
        <w:rPr>
          <w:rFonts w:ascii="Times New Roman" w:hAnsi="Times New Roman" w:cs="Times New Roman"/>
          <w:b/>
          <w:spacing w:val="-2"/>
          <w:kern w:val="28"/>
          <w:szCs w:val="24"/>
        </w:rPr>
      </w:pPr>
      <w:r w:rsidRPr="00C91AF7">
        <w:rPr>
          <w:rFonts w:ascii="Times New Roman" w:hAnsi="Times New Roman" w:cs="Times New Roman"/>
          <w:b/>
          <w:spacing w:val="-2"/>
          <w:kern w:val="28"/>
          <w:szCs w:val="24"/>
        </w:rPr>
        <w:t>INTRODUCTION</w:t>
      </w:r>
      <w:r w:rsidRPr="00C91AF7">
        <w:rPr>
          <w:rFonts w:ascii="Times New Roman" w:hAnsi="Times New Roman" w:cs="Times New Roman"/>
          <w:b/>
          <w:spacing w:val="-2"/>
          <w:kern w:val="28"/>
          <w:szCs w:val="24"/>
        </w:rPr>
        <w:softHyphen/>
      </w:r>
      <w:r w:rsidRPr="00C91AF7">
        <w:rPr>
          <w:rFonts w:ascii="Times New Roman" w:hAnsi="Times New Roman" w:cs="Times New Roman"/>
          <w:b/>
          <w:spacing w:val="-2"/>
          <w:kern w:val="28"/>
          <w:szCs w:val="24"/>
        </w:rPr>
        <w:softHyphen/>
      </w:r>
      <w:r w:rsidRPr="00C91AF7">
        <w:rPr>
          <w:rFonts w:ascii="Times New Roman" w:hAnsi="Times New Roman" w:cs="Times New Roman"/>
          <w:b/>
          <w:spacing w:val="-2"/>
          <w:kern w:val="28"/>
          <w:szCs w:val="24"/>
        </w:rPr>
        <w:softHyphen/>
      </w:r>
      <w:r w:rsidRPr="00C91AF7">
        <w:rPr>
          <w:rFonts w:ascii="Times New Roman" w:hAnsi="Times New Roman" w:cs="Times New Roman"/>
          <w:b/>
          <w:spacing w:val="-2"/>
          <w:kern w:val="28"/>
          <w:szCs w:val="24"/>
        </w:rPr>
        <w:softHyphen/>
      </w:r>
      <w:r w:rsidRPr="00C91AF7">
        <w:rPr>
          <w:rFonts w:ascii="Times New Roman" w:hAnsi="Times New Roman" w:cs="Times New Roman"/>
          <w:b/>
          <w:spacing w:val="-2"/>
          <w:kern w:val="28"/>
          <w:szCs w:val="24"/>
        </w:rPr>
        <w:softHyphen/>
      </w:r>
    </w:p>
    <w:p w14:paraId="6E67C062" w14:textId="77777777" w:rsidR="00A52DBB" w:rsidRPr="00C91AF7" w:rsidRDefault="00A52DBB" w:rsidP="00A52DBB">
      <w:pPr>
        <w:ind w:left="360"/>
        <w:contextualSpacing/>
        <w:jc w:val="both"/>
        <w:rPr>
          <w:rFonts w:ascii="Times New Roman" w:hAnsi="Times New Roman" w:cs="Times New Roman"/>
          <w:spacing w:val="-2"/>
          <w:kern w:val="28"/>
          <w:szCs w:val="24"/>
        </w:rPr>
      </w:pPr>
    </w:p>
    <w:p w14:paraId="1D4C5249" w14:textId="77777777" w:rsidR="00A52DBB" w:rsidRPr="00C91AF7" w:rsidRDefault="00A52DBB" w:rsidP="004D569F">
      <w:pPr>
        <w:spacing w:after="160" w:line="259" w:lineRule="auto"/>
        <w:jc w:val="both"/>
        <w:rPr>
          <w:rFonts w:ascii="Times New Roman" w:eastAsia="Calibri" w:hAnsi="Times New Roman" w:cs="Times New Roman"/>
          <w:spacing w:val="-2"/>
          <w:szCs w:val="24"/>
        </w:rPr>
      </w:pPr>
      <w:r w:rsidRPr="00C91AF7">
        <w:rPr>
          <w:rFonts w:ascii="Times New Roman" w:eastAsia="Calibri" w:hAnsi="Times New Roman" w:cs="Times New Roman"/>
          <w:spacing w:val="-2"/>
          <w:szCs w:val="24"/>
        </w:rPr>
        <w:t xml:space="preserve">The </w:t>
      </w:r>
      <w:r w:rsidRPr="00C91AF7">
        <w:rPr>
          <w:rFonts w:ascii="Times New Roman" w:eastAsia="Calibri" w:hAnsi="Times New Roman" w:cs="Times New Roman"/>
          <w:i/>
          <w:spacing w:val="-2"/>
          <w:szCs w:val="24"/>
        </w:rPr>
        <w:t>Elementary and Secondary Education Act of 1965</w:t>
      </w:r>
      <w:r w:rsidRPr="00C91AF7">
        <w:rPr>
          <w:rFonts w:ascii="Times New Roman" w:eastAsia="Calibri" w:hAnsi="Times New Roman" w:cs="Times New Roman"/>
          <w:spacing w:val="-2"/>
          <w:szCs w:val="24"/>
        </w:rPr>
        <w:t>,</w:t>
      </w:r>
      <w:r w:rsidRPr="00C91AF7">
        <w:rPr>
          <w:rFonts w:ascii="Times New Roman" w:eastAsia="Calibri" w:hAnsi="Times New Roman" w:cs="Times New Roman"/>
          <w:i/>
          <w:spacing w:val="-2"/>
          <w:szCs w:val="24"/>
        </w:rPr>
        <w:t xml:space="preserve"> </w:t>
      </w:r>
      <w:r w:rsidRPr="00C91AF7">
        <w:rPr>
          <w:rFonts w:ascii="Times New Roman" w:eastAsia="Calibri" w:hAnsi="Times New Roman" w:cs="Times New Roman"/>
          <w:spacing w:val="-2"/>
          <w:szCs w:val="24"/>
        </w:rPr>
        <w:t xml:space="preserve">as amended by </w:t>
      </w:r>
      <w:proofErr w:type="gramStart"/>
      <w:r w:rsidRPr="00C91AF7">
        <w:rPr>
          <w:rFonts w:ascii="Times New Roman" w:eastAsia="Calibri" w:hAnsi="Times New Roman" w:cs="Times New Roman"/>
          <w:spacing w:val="-2"/>
          <w:szCs w:val="24"/>
        </w:rPr>
        <w:t xml:space="preserve">the </w:t>
      </w:r>
      <w:r w:rsidRPr="00C91AF7">
        <w:rPr>
          <w:rFonts w:ascii="Times New Roman" w:eastAsia="Calibri" w:hAnsi="Times New Roman" w:cs="Times New Roman"/>
          <w:i/>
          <w:spacing w:val="-2"/>
          <w:szCs w:val="24"/>
        </w:rPr>
        <w:t>Every</w:t>
      </w:r>
      <w:proofErr w:type="gramEnd"/>
      <w:r w:rsidRPr="00C91AF7">
        <w:rPr>
          <w:rFonts w:ascii="Times New Roman" w:eastAsia="Calibri" w:hAnsi="Times New Roman" w:cs="Times New Roman"/>
          <w:i/>
          <w:spacing w:val="-2"/>
          <w:szCs w:val="24"/>
        </w:rPr>
        <w:t xml:space="preserve"> Student Succeeds Act of 2015 (ESSA)</w:t>
      </w:r>
      <w:r w:rsidRPr="00C91AF7">
        <w:rPr>
          <w:rFonts w:ascii="Times New Roman" w:eastAsia="Calibri" w:hAnsi="Times New Roman" w:cs="Times New Roman"/>
          <w:spacing w:val="-2"/>
          <w:szCs w:val="24"/>
        </w:rPr>
        <w:t xml:space="preserve">, acknowledges that disputes may arise between a private school and the local educational agency (LEA) responsible for administering equitable services to the private school under the provisions of </w:t>
      </w:r>
      <w:r w:rsidRPr="00C91AF7">
        <w:rPr>
          <w:rFonts w:ascii="Times New Roman" w:eastAsia="Calibri" w:hAnsi="Times New Roman" w:cs="Times New Roman"/>
          <w:i/>
          <w:spacing w:val="-2"/>
          <w:szCs w:val="24"/>
        </w:rPr>
        <w:t>ESSA</w:t>
      </w:r>
      <w:r w:rsidRPr="00C91AF7">
        <w:rPr>
          <w:rFonts w:ascii="Times New Roman" w:eastAsia="Calibri" w:hAnsi="Times New Roman" w:cs="Times New Roman"/>
          <w:spacing w:val="-2"/>
          <w:szCs w:val="24"/>
        </w:rPr>
        <w:t xml:space="preserve">. The Mississippi Department of Education’s (MDE’s) </w:t>
      </w:r>
      <w:r w:rsidR="004D569F" w:rsidRPr="00C91AF7">
        <w:rPr>
          <w:rFonts w:ascii="Times New Roman" w:eastAsia="Calibri" w:hAnsi="Times New Roman" w:cs="Times New Roman"/>
          <w:i/>
          <w:spacing w:val="-2"/>
          <w:szCs w:val="24"/>
        </w:rPr>
        <w:t xml:space="preserve">ESSA </w:t>
      </w:r>
      <w:r w:rsidRPr="00C91AF7">
        <w:rPr>
          <w:rFonts w:ascii="Times New Roman" w:eastAsia="Calibri" w:hAnsi="Times New Roman" w:cs="Times New Roman"/>
          <w:spacing w:val="-2"/>
          <w:szCs w:val="24"/>
        </w:rPr>
        <w:t xml:space="preserve">State Equitable Services Ombudsman and </w:t>
      </w:r>
      <w:r w:rsidRPr="00C91AF7">
        <w:rPr>
          <w:rFonts w:ascii="Times New Roman" w:eastAsia="Calibri" w:hAnsi="Times New Roman" w:cs="Times New Roman"/>
          <w:i/>
          <w:spacing w:val="-2"/>
          <w:szCs w:val="24"/>
        </w:rPr>
        <w:t xml:space="preserve">ESSA </w:t>
      </w:r>
      <w:r w:rsidRPr="00C91AF7">
        <w:rPr>
          <w:rFonts w:ascii="Times New Roman" w:eastAsia="Calibri" w:hAnsi="Times New Roman" w:cs="Times New Roman"/>
          <w:spacing w:val="-2"/>
          <w:szCs w:val="24"/>
        </w:rPr>
        <w:t xml:space="preserve">title-program specialists are available to assist LEAs and private schools with all equitable services concerns. However, </w:t>
      </w:r>
      <w:r w:rsidR="004D569F" w:rsidRPr="00C91AF7">
        <w:rPr>
          <w:rFonts w:ascii="Times New Roman" w:eastAsia="Calibri" w:hAnsi="Times New Roman" w:cs="Times New Roman"/>
          <w:spacing w:val="-2"/>
          <w:szCs w:val="24"/>
        </w:rPr>
        <w:t xml:space="preserve">in the event of unresolved disputes, the Mississippi State Board of Education hereby enacts the following Equitable Services Dispute Resolution Policy to facilitate the Ombudsman’s statutory duty to “monitor and enforce” the equitable services provisions of </w:t>
      </w:r>
      <w:r w:rsidR="004D569F" w:rsidRPr="00C91AF7">
        <w:rPr>
          <w:rFonts w:ascii="Times New Roman" w:eastAsia="Calibri" w:hAnsi="Times New Roman" w:cs="Times New Roman"/>
          <w:i/>
          <w:spacing w:val="-2"/>
          <w:szCs w:val="24"/>
        </w:rPr>
        <w:t>ESSA</w:t>
      </w:r>
      <w:r w:rsidR="004D569F" w:rsidRPr="00C91AF7">
        <w:rPr>
          <w:rFonts w:ascii="Times New Roman" w:eastAsia="Calibri" w:hAnsi="Times New Roman" w:cs="Times New Roman"/>
          <w:spacing w:val="-2"/>
          <w:szCs w:val="24"/>
        </w:rPr>
        <w:t>.</w:t>
      </w:r>
    </w:p>
    <w:p w14:paraId="13FD768A" w14:textId="77777777" w:rsidR="00A52DBB" w:rsidRPr="00C91AF7" w:rsidRDefault="00A52DBB" w:rsidP="00A52DBB">
      <w:pPr>
        <w:spacing w:after="160" w:line="259" w:lineRule="auto"/>
        <w:jc w:val="both"/>
        <w:rPr>
          <w:rFonts w:ascii="Times New Roman" w:eastAsia="Calibri" w:hAnsi="Times New Roman" w:cs="Times New Roman"/>
          <w:spacing w:val="-2"/>
          <w:szCs w:val="24"/>
        </w:rPr>
      </w:pPr>
    </w:p>
    <w:p w14:paraId="7DB95290" w14:textId="77777777" w:rsidR="00A52DBB" w:rsidRPr="00C91AF7" w:rsidRDefault="00A52DBB" w:rsidP="00A52DBB">
      <w:pPr>
        <w:spacing w:after="160" w:line="259" w:lineRule="auto"/>
        <w:ind w:left="360" w:hanging="360"/>
        <w:jc w:val="both"/>
        <w:rPr>
          <w:rFonts w:ascii="Times New Roman" w:eastAsia="Calibri" w:hAnsi="Times New Roman" w:cs="Times New Roman"/>
          <w:spacing w:val="-2"/>
          <w:szCs w:val="24"/>
        </w:rPr>
      </w:pPr>
      <w:r w:rsidRPr="00C91AF7">
        <w:rPr>
          <w:rFonts w:ascii="Times New Roman" w:eastAsia="Calibri" w:hAnsi="Times New Roman" w:cs="Times New Roman"/>
          <w:b/>
          <w:spacing w:val="-2"/>
          <w:szCs w:val="24"/>
        </w:rPr>
        <w:t>2.</w:t>
      </w:r>
      <w:r w:rsidRPr="00C91AF7">
        <w:rPr>
          <w:rFonts w:ascii="Times New Roman" w:eastAsia="Calibri" w:hAnsi="Times New Roman" w:cs="Times New Roman"/>
          <w:b/>
          <w:spacing w:val="-2"/>
          <w:szCs w:val="24"/>
        </w:rPr>
        <w:tab/>
        <w:t>ADMINISTRATIVE POLICY</w:t>
      </w:r>
      <w:r w:rsidRPr="00C91AF7">
        <w:rPr>
          <w:rFonts w:ascii="Times New Roman" w:eastAsia="Calibri" w:hAnsi="Times New Roman" w:cs="Times New Roman"/>
          <w:b/>
          <w:spacing w:val="-2"/>
          <w:szCs w:val="24"/>
        </w:rPr>
        <w:tab/>
      </w:r>
    </w:p>
    <w:p w14:paraId="49A154A0" w14:textId="77777777" w:rsidR="00A52DBB" w:rsidRPr="00C91AF7" w:rsidRDefault="00A52DBB" w:rsidP="00A52DBB">
      <w:pPr>
        <w:spacing w:after="160" w:line="259" w:lineRule="auto"/>
        <w:jc w:val="both"/>
        <w:rPr>
          <w:rFonts w:ascii="Times New Roman" w:eastAsia="Calibri" w:hAnsi="Times New Roman" w:cs="Times New Roman"/>
          <w:spacing w:val="-2"/>
          <w:szCs w:val="24"/>
        </w:rPr>
      </w:pPr>
      <w:r w:rsidRPr="00C91AF7">
        <w:rPr>
          <w:rFonts w:ascii="Times New Roman" w:eastAsia="Calibri" w:hAnsi="Times New Roman" w:cs="Times New Roman"/>
          <w:spacing w:val="-2"/>
          <w:szCs w:val="24"/>
        </w:rPr>
        <w:t>The Mississippi State Board of Education hereby authorizes the Mississippi Department of Education’s Office of Federal Programs to devise</w:t>
      </w:r>
      <w:r w:rsidR="00AB525E" w:rsidRPr="00C91AF7">
        <w:rPr>
          <w:rFonts w:ascii="Times New Roman" w:eastAsia="Calibri" w:hAnsi="Times New Roman" w:cs="Times New Roman"/>
          <w:spacing w:val="-2"/>
          <w:szCs w:val="24"/>
        </w:rPr>
        <w:t xml:space="preserve"> detailed </w:t>
      </w:r>
      <w:r w:rsidRPr="00C91AF7">
        <w:rPr>
          <w:rFonts w:ascii="Times New Roman" w:eastAsia="Calibri" w:hAnsi="Times New Roman" w:cs="Times New Roman"/>
          <w:spacing w:val="-2"/>
          <w:szCs w:val="24"/>
        </w:rPr>
        <w:t>procedures for the resolution of equitable services disputes between LEAs and private schools. These procedures shall include, at a minimum:</w:t>
      </w:r>
    </w:p>
    <w:p w14:paraId="4D3850C5" w14:textId="1E4E610C" w:rsidR="00A52DBB" w:rsidRPr="00C91AF7" w:rsidRDefault="00A52DBB" w:rsidP="00A52DBB">
      <w:pPr>
        <w:tabs>
          <w:tab w:val="left" w:pos="720"/>
        </w:tabs>
        <w:spacing w:after="160" w:line="259" w:lineRule="auto"/>
        <w:ind w:left="360"/>
        <w:jc w:val="both"/>
        <w:rPr>
          <w:rFonts w:ascii="Times New Roman" w:eastAsia="Calibri" w:hAnsi="Times New Roman" w:cs="Times New Roman"/>
          <w:spacing w:val="-2"/>
          <w:szCs w:val="24"/>
        </w:rPr>
      </w:pPr>
      <w:r w:rsidRPr="00C91AF7">
        <w:rPr>
          <w:rFonts w:ascii="Times New Roman" w:eastAsia="Calibri" w:hAnsi="Times New Roman" w:cs="Times New Roman"/>
          <w:b/>
          <w:spacing w:val="-2"/>
          <w:szCs w:val="24"/>
        </w:rPr>
        <w:t>A.</w:t>
      </w:r>
      <w:r w:rsidRPr="00C91AF7">
        <w:rPr>
          <w:rFonts w:ascii="Times New Roman" w:eastAsia="Calibri" w:hAnsi="Times New Roman" w:cs="Times New Roman"/>
          <w:b/>
          <w:spacing w:val="-2"/>
          <w:szCs w:val="24"/>
        </w:rPr>
        <w:tab/>
        <w:t xml:space="preserve">Moderated Settlement Conference: </w:t>
      </w:r>
      <w:r w:rsidRPr="00C91AF7">
        <w:rPr>
          <w:rFonts w:ascii="Times New Roman" w:eastAsia="Calibri" w:hAnsi="Times New Roman" w:cs="Times New Roman"/>
          <w:spacing w:val="-2"/>
          <w:szCs w:val="24"/>
        </w:rPr>
        <w:t xml:space="preserve">When an unresolved dispute is announced via the </w:t>
      </w:r>
      <w:r w:rsidRPr="00C91AF7">
        <w:rPr>
          <w:rFonts w:ascii="Times New Roman" w:eastAsia="Calibri" w:hAnsi="Times New Roman" w:cs="Times New Roman"/>
          <w:i/>
          <w:spacing w:val="-2"/>
          <w:szCs w:val="24"/>
        </w:rPr>
        <w:t>ESSA-</w:t>
      </w:r>
      <w:r w:rsidRPr="00C91AF7">
        <w:rPr>
          <w:rFonts w:ascii="Times New Roman" w:eastAsia="Calibri" w:hAnsi="Times New Roman" w:cs="Times New Roman"/>
          <w:spacing w:val="-2"/>
          <w:szCs w:val="24"/>
        </w:rPr>
        <w:t>mandated “Private School Written Affirmation” filed with the State Ombudsman, representatives of the LEA and private school will attend a settlement conference moderated by Office of Federal Programs title-program specialists, to assure that no misunderstanding, misapplication of law or procedure, or other mistake has caused the dispute, and to attempt to reach an amicable resolution.</w:t>
      </w:r>
      <w:r w:rsidR="006C041F">
        <w:rPr>
          <w:rFonts w:ascii="Times New Roman" w:eastAsia="Calibri" w:hAnsi="Times New Roman" w:cs="Times New Roman"/>
          <w:spacing w:val="-2"/>
          <w:szCs w:val="24"/>
        </w:rPr>
        <w:t xml:space="preserve"> Due to the impending possibility of the Ombudsman’s adjudication of the matter, the Ombudsman shall not participate in the settlement conference.</w:t>
      </w:r>
    </w:p>
    <w:p w14:paraId="047F7CD2" w14:textId="77777777" w:rsidR="00A52DBB" w:rsidRPr="00C91AF7" w:rsidRDefault="00A52DBB" w:rsidP="00A52DBB">
      <w:pPr>
        <w:tabs>
          <w:tab w:val="left" w:pos="720"/>
        </w:tabs>
        <w:spacing w:after="160" w:line="259" w:lineRule="auto"/>
        <w:ind w:left="360"/>
        <w:jc w:val="both"/>
        <w:rPr>
          <w:rFonts w:ascii="Times New Roman" w:eastAsia="Calibri" w:hAnsi="Times New Roman" w:cs="Times New Roman"/>
          <w:spacing w:val="-2"/>
          <w:szCs w:val="24"/>
        </w:rPr>
      </w:pPr>
      <w:r w:rsidRPr="00C91AF7">
        <w:rPr>
          <w:rFonts w:ascii="Times New Roman" w:eastAsia="Calibri" w:hAnsi="Times New Roman" w:cs="Times New Roman"/>
          <w:b/>
          <w:spacing w:val="-2"/>
          <w:szCs w:val="24"/>
        </w:rPr>
        <w:t>B.</w:t>
      </w:r>
      <w:r w:rsidRPr="00C91AF7">
        <w:rPr>
          <w:rFonts w:ascii="Times New Roman" w:eastAsia="Calibri" w:hAnsi="Times New Roman" w:cs="Times New Roman"/>
          <w:b/>
          <w:spacing w:val="-2"/>
          <w:szCs w:val="24"/>
        </w:rPr>
        <w:tab/>
        <w:t xml:space="preserve">Complaint and Response: </w:t>
      </w:r>
      <w:r w:rsidRPr="00C91AF7">
        <w:rPr>
          <w:rFonts w:ascii="Times New Roman" w:eastAsia="Calibri" w:hAnsi="Times New Roman" w:cs="Times New Roman"/>
          <w:spacing w:val="-2"/>
          <w:szCs w:val="24"/>
        </w:rPr>
        <w:t>If settlement is unsuccessful, the private school may elect to continue the dispute by filing a Complaint to the Ombudsman in writing, including all supplemental materials. The LEA may file a written Response, including all supplemental materials.</w:t>
      </w:r>
    </w:p>
    <w:p w14:paraId="29E4434E" w14:textId="77777777" w:rsidR="00A52DBB" w:rsidRPr="00C91AF7" w:rsidRDefault="00A52DBB" w:rsidP="00A52DBB">
      <w:pPr>
        <w:tabs>
          <w:tab w:val="left" w:pos="720"/>
        </w:tabs>
        <w:spacing w:after="160" w:line="259" w:lineRule="auto"/>
        <w:ind w:left="360"/>
        <w:jc w:val="both"/>
        <w:rPr>
          <w:rFonts w:ascii="Times New Roman" w:eastAsia="Calibri" w:hAnsi="Times New Roman" w:cs="Times New Roman"/>
          <w:spacing w:val="-2"/>
          <w:szCs w:val="24"/>
        </w:rPr>
      </w:pPr>
      <w:r w:rsidRPr="00C91AF7">
        <w:rPr>
          <w:rFonts w:ascii="Times New Roman" w:eastAsia="Calibri" w:hAnsi="Times New Roman" w:cs="Times New Roman"/>
          <w:b/>
          <w:spacing w:val="-2"/>
          <w:szCs w:val="24"/>
        </w:rPr>
        <w:t>C.</w:t>
      </w:r>
      <w:r w:rsidRPr="00C91AF7">
        <w:rPr>
          <w:rFonts w:ascii="Times New Roman" w:eastAsia="Calibri" w:hAnsi="Times New Roman" w:cs="Times New Roman"/>
          <w:b/>
          <w:spacing w:val="-2"/>
          <w:szCs w:val="24"/>
        </w:rPr>
        <w:tab/>
      </w:r>
      <w:r w:rsidR="00AB525E" w:rsidRPr="00C91AF7">
        <w:rPr>
          <w:rFonts w:ascii="Times New Roman" w:eastAsia="Calibri" w:hAnsi="Times New Roman" w:cs="Times New Roman"/>
          <w:b/>
          <w:spacing w:val="-2"/>
          <w:szCs w:val="24"/>
        </w:rPr>
        <w:t>Decision and Enforcement</w:t>
      </w:r>
      <w:r w:rsidRPr="00C91AF7">
        <w:rPr>
          <w:rFonts w:ascii="Times New Roman" w:eastAsia="Calibri" w:hAnsi="Times New Roman" w:cs="Times New Roman"/>
          <w:b/>
          <w:spacing w:val="-2"/>
          <w:szCs w:val="24"/>
        </w:rPr>
        <w:t xml:space="preserve"> by Ombudsman: </w:t>
      </w:r>
      <w:r w:rsidRPr="00C91AF7">
        <w:rPr>
          <w:rFonts w:ascii="Times New Roman" w:eastAsia="Calibri" w:hAnsi="Times New Roman" w:cs="Times New Roman"/>
          <w:spacing w:val="-2"/>
          <w:szCs w:val="24"/>
        </w:rPr>
        <w:t xml:space="preserve">After considering the evidence, the Ombudsman shall decide and resolve the dispute by enforcing the equitable services requirements of </w:t>
      </w:r>
      <w:r w:rsidRPr="00C91AF7">
        <w:rPr>
          <w:rFonts w:ascii="Times New Roman" w:eastAsia="Calibri" w:hAnsi="Times New Roman" w:cs="Times New Roman"/>
          <w:i/>
          <w:spacing w:val="-2"/>
          <w:szCs w:val="24"/>
        </w:rPr>
        <w:t>ESSA.</w:t>
      </w:r>
      <w:r w:rsidRPr="00C91AF7">
        <w:rPr>
          <w:rFonts w:ascii="Times New Roman" w:eastAsia="Calibri" w:hAnsi="Times New Roman" w:cs="Times New Roman"/>
          <w:spacing w:val="-2"/>
          <w:szCs w:val="24"/>
        </w:rPr>
        <w:t xml:space="preserve"> </w:t>
      </w:r>
    </w:p>
    <w:p w14:paraId="34F6D7F6" w14:textId="77777777" w:rsidR="00A52DBB" w:rsidRPr="00C91AF7" w:rsidRDefault="00A52DBB" w:rsidP="00A52DBB">
      <w:pPr>
        <w:tabs>
          <w:tab w:val="left" w:pos="1080"/>
        </w:tabs>
        <w:spacing w:after="160" w:line="259" w:lineRule="auto"/>
        <w:ind w:left="720"/>
        <w:jc w:val="both"/>
        <w:rPr>
          <w:rFonts w:ascii="Times New Roman" w:eastAsia="Calibri" w:hAnsi="Times New Roman" w:cs="Times New Roman"/>
          <w:spacing w:val="-2"/>
          <w:szCs w:val="24"/>
        </w:rPr>
      </w:pPr>
      <w:proofErr w:type="spellStart"/>
      <w:r w:rsidRPr="00C91AF7">
        <w:rPr>
          <w:rFonts w:ascii="Times New Roman" w:eastAsia="Calibri" w:hAnsi="Times New Roman" w:cs="Times New Roman"/>
          <w:spacing w:val="-2"/>
          <w:szCs w:val="24"/>
        </w:rPr>
        <w:t>i</w:t>
      </w:r>
      <w:proofErr w:type="spellEnd"/>
      <w:r w:rsidRPr="00C91AF7">
        <w:rPr>
          <w:rFonts w:ascii="Times New Roman" w:eastAsia="Calibri" w:hAnsi="Times New Roman" w:cs="Times New Roman"/>
          <w:spacing w:val="-2"/>
          <w:szCs w:val="24"/>
        </w:rPr>
        <w:t>.</w:t>
      </w:r>
      <w:r w:rsidRPr="00C91AF7">
        <w:rPr>
          <w:rFonts w:ascii="Times New Roman" w:eastAsia="Calibri" w:hAnsi="Times New Roman" w:cs="Times New Roman"/>
          <w:spacing w:val="-2"/>
          <w:szCs w:val="24"/>
        </w:rPr>
        <w:tab/>
        <w:t xml:space="preserve">An in-person hearing may be requested by either party, or the parties may elect for the Ombudsman to decide the dispute based on the Complaint and Response materials alone. If an in-person hearing is requested, the Ombudsman shall preside and is hereby empowered to administer oaths and take witness testimony. </w:t>
      </w:r>
      <w:r w:rsidR="0097002F" w:rsidRPr="00C91AF7">
        <w:rPr>
          <w:rFonts w:ascii="Times New Roman" w:eastAsia="Calibri" w:hAnsi="Times New Roman" w:cs="Times New Roman"/>
          <w:spacing w:val="-2"/>
          <w:szCs w:val="24"/>
        </w:rPr>
        <w:t>A trans</w:t>
      </w:r>
      <w:r w:rsidR="00C76FCB" w:rsidRPr="00C91AF7">
        <w:rPr>
          <w:rFonts w:ascii="Times New Roman" w:eastAsia="Calibri" w:hAnsi="Times New Roman" w:cs="Times New Roman"/>
          <w:spacing w:val="-2"/>
          <w:szCs w:val="24"/>
        </w:rPr>
        <w:t>cript of the proceeding shall be made.</w:t>
      </w:r>
    </w:p>
    <w:p w14:paraId="7CC7BCEC" w14:textId="77777777" w:rsidR="00A52DBB" w:rsidRPr="00C91AF7" w:rsidRDefault="00A52DBB" w:rsidP="00A52DBB">
      <w:pPr>
        <w:tabs>
          <w:tab w:val="left" w:pos="1080"/>
        </w:tabs>
        <w:spacing w:after="160" w:line="259" w:lineRule="auto"/>
        <w:ind w:left="720"/>
        <w:jc w:val="both"/>
        <w:rPr>
          <w:rFonts w:ascii="Times New Roman" w:eastAsia="Calibri" w:hAnsi="Times New Roman" w:cs="Times New Roman"/>
          <w:i/>
          <w:spacing w:val="-2"/>
          <w:szCs w:val="24"/>
        </w:rPr>
      </w:pPr>
      <w:r w:rsidRPr="00C91AF7">
        <w:rPr>
          <w:rFonts w:ascii="Times New Roman" w:eastAsia="Calibri" w:hAnsi="Times New Roman" w:cs="Times New Roman"/>
          <w:spacing w:val="-2"/>
          <w:szCs w:val="24"/>
        </w:rPr>
        <w:lastRenderedPageBreak/>
        <w:t>ii.</w:t>
      </w:r>
      <w:r w:rsidRPr="00C91AF7">
        <w:rPr>
          <w:rFonts w:ascii="Times New Roman" w:eastAsia="Calibri" w:hAnsi="Times New Roman" w:cs="Times New Roman"/>
          <w:spacing w:val="-2"/>
          <w:szCs w:val="24"/>
        </w:rPr>
        <w:tab/>
        <w:t xml:space="preserve">A detailed written decision will be subsequently issued, indicating whether the private school has met its burden of proof to demonstrate, by a preponderance of the evidence, that the LEA is noncompliant with the equitable services provisions of </w:t>
      </w:r>
      <w:r w:rsidRPr="00C91AF7">
        <w:rPr>
          <w:rFonts w:ascii="Times New Roman" w:eastAsia="Calibri" w:hAnsi="Times New Roman" w:cs="Times New Roman"/>
          <w:i/>
          <w:spacing w:val="-2"/>
          <w:szCs w:val="24"/>
        </w:rPr>
        <w:t xml:space="preserve">ESSA. </w:t>
      </w:r>
    </w:p>
    <w:p w14:paraId="15A7B1A8" w14:textId="77777777" w:rsidR="00A52DBB" w:rsidRPr="00C91AF7" w:rsidRDefault="00A52DBB" w:rsidP="00A52DBB">
      <w:pPr>
        <w:tabs>
          <w:tab w:val="left" w:pos="1080"/>
        </w:tabs>
        <w:spacing w:after="160" w:line="259" w:lineRule="auto"/>
        <w:ind w:left="720"/>
        <w:jc w:val="both"/>
        <w:rPr>
          <w:rFonts w:ascii="Times New Roman" w:eastAsia="Calibri" w:hAnsi="Times New Roman" w:cs="Times New Roman"/>
          <w:spacing w:val="-2"/>
          <w:szCs w:val="24"/>
        </w:rPr>
      </w:pPr>
      <w:r w:rsidRPr="00C91AF7">
        <w:rPr>
          <w:rFonts w:ascii="Times New Roman" w:eastAsia="Calibri" w:hAnsi="Times New Roman" w:cs="Times New Roman"/>
          <w:spacing w:val="-2"/>
          <w:szCs w:val="24"/>
        </w:rPr>
        <w:t>iii.</w:t>
      </w:r>
      <w:r w:rsidRPr="00C91AF7">
        <w:rPr>
          <w:rFonts w:ascii="Times New Roman" w:eastAsia="Calibri" w:hAnsi="Times New Roman" w:cs="Times New Roman"/>
          <w:spacing w:val="-2"/>
          <w:szCs w:val="24"/>
        </w:rPr>
        <w:tab/>
        <w:t xml:space="preserve">If the Ombudsman finds the private school has met its burden of proof, the Ombudsman shall also issue an Order to Remediate, requiring the LEA to take the actions necessary to comply with </w:t>
      </w:r>
      <w:r w:rsidRPr="00C91AF7">
        <w:rPr>
          <w:rFonts w:ascii="Times New Roman" w:eastAsia="Calibri" w:hAnsi="Times New Roman" w:cs="Times New Roman"/>
          <w:i/>
          <w:spacing w:val="-2"/>
          <w:szCs w:val="24"/>
        </w:rPr>
        <w:t>ESSA’s</w:t>
      </w:r>
      <w:r w:rsidRPr="00C91AF7">
        <w:rPr>
          <w:rFonts w:ascii="Times New Roman" w:eastAsia="Calibri" w:hAnsi="Times New Roman" w:cs="Times New Roman"/>
          <w:spacing w:val="-2"/>
          <w:szCs w:val="24"/>
        </w:rPr>
        <w:t xml:space="preserve"> equitable services requirements. </w:t>
      </w:r>
    </w:p>
    <w:p w14:paraId="5D5740B0" w14:textId="77777777" w:rsidR="0097002F" w:rsidRPr="00C91AF7" w:rsidRDefault="00A52DBB" w:rsidP="00A52DBB">
      <w:pPr>
        <w:spacing w:after="160" w:line="259" w:lineRule="auto"/>
        <w:ind w:left="360"/>
        <w:jc w:val="both"/>
        <w:rPr>
          <w:rFonts w:ascii="Times New Roman" w:eastAsia="Calibri" w:hAnsi="Times New Roman" w:cs="Times New Roman"/>
          <w:spacing w:val="-2"/>
          <w:szCs w:val="24"/>
        </w:rPr>
      </w:pPr>
      <w:r w:rsidRPr="00C91AF7">
        <w:rPr>
          <w:rFonts w:ascii="Times New Roman" w:eastAsia="Calibri" w:hAnsi="Times New Roman" w:cs="Times New Roman"/>
          <w:b/>
          <w:spacing w:val="-2"/>
          <w:szCs w:val="24"/>
        </w:rPr>
        <w:t>D.</w:t>
      </w:r>
      <w:r w:rsidRPr="00C91AF7">
        <w:rPr>
          <w:rFonts w:ascii="Times New Roman" w:eastAsia="Calibri" w:hAnsi="Times New Roman" w:cs="Times New Roman"/>
          <w:b/>
          <w:spacing w:val="-2"/>
          <w:szCs w:val="24"/>
        </w:rPr>
        <w:tab/>
        <w:t xml:space="preserve">Appeal: </w:t>
      </w:r>
      <w:r w:rsidRPr="00C91AF7">
        <w:rPr>
          <w:rFonts w:ascii="Times New Roman" w:eastAsia="Calibri" w:hAnsi="Times New Roman" w:cs="Times New Roman"/>
          <w:spacing w:val="-2"/>
          <w:szCs w:val="24"/>
        </w:rPr>
        <w:t xml:space="preserve">In compliance with </w:t>
      </w:r>
      <w:r w:rsidRPr="00C91AF7">
        <w:rPr>
          <w:rFonts w:ascii="Times New Roman" w:eastAsia="Calibri" w:hAnsi="Times New Roman" w:cs="Times New Roman"/>
          <w:i/>
          <w:spacing w:val="-2"/>
          <w:szCs w:val="24"/>
        </w:rPr>
        <w:t>ESSA</w:t>
      </w:r>
      <w:r w:rsidR="0097002F" w:rsidRPr="00C91AF7">
        <w:rPr>
          <w:rFonts w:ascii="Times New Roman" w:eastAsia="Calibri" w:hAnsi="Times New Roman" w:cs="Times New Roman"/>
          <w:i/>
          <w:spacing w:val="-2"/>
          <w:szCs w:val="24"/>
        </w:rPr>
        <w:t xml:space="preserve">’s </w:t>
      </w:r>
      <w:r w:rsidR="0097002F" w:rsidRPr="00C91AF7">
        <w:rPr>
          <w:rFonts w:ascii="Times New Roman" w:eastAsia="Calibri" w:hAnsi="Times New Roman" w:cs="Times New Roman"/>
          <w:spacing w:val="-2"/>
          <w:szCs w:val="24"/>
        </w:rPr>
        <w:t>appeal provisions</w:t>
      </w:r>
      <w:r w:rsidRPr="00C91AF7">
        <w:rPr>
          <w:rFonts w:ascii="Times New Roman" w:eastAsia="Calibri" w:hAnsi="Times New Roman" w:cs="Times New Roman"/>
          <w:spacing w:val="-2"/>
          <w:szCs w:val="24"/>
        </w:rPr>
        <w:t>, the Ombudsman’s Decision and/or Order may be appealed by either party</w:t>
      </w:r>
      <w:r w:rsidR="0097002F" w:rsidRPr="00C91AF7">
        <w:rPr>
          <w:rFonts w:ascii="Times New Roman" w:eastAsia="Calibri" w:hAnsi="Times New Roman" w:cs="Times New Roman"/>
          <w:spacing w:val="-2"/>
          <w:szCs w:val="24"/>
        </w:rPr>
        <w:t xml:space="preserve"> as follows:</w:t>
      </w:r>
    </w:p>
    <w:p w14:paraId="775984CA" w14:textId="27FE76B6" w:rsidR="00C76FCB" w:rsidRPr="00C91AF7" w:rsidRDefault="0097002F" w:rsidP="00C76FCB">
      <w:pPr>
        <w:tabs>
          <w:tab w:val="left" w:pos="1080"/>
        </w:tabs>
        <w:spacing w:after="160" w:line="259" w:lineRule="auto"/>
        <w:ind w:left="720"/>
        <w:jc w:val="both"/>
        <w:rPr>
          <w:rFonts w:ascii="Times New Roman" w:eastAsia="Calibri" w:hAnsi="Times New Roman" w:cs="Times New Roman"/>
          <w:spacing w:val="-2"/>
          <w:szCs w:val="24"/>
        </w:rPr>
      </w:pPr>
      <w:proofErr w:type="spellStart"/>
      <w:r w:rsidRPr="00C91AF7">
        <w:rPr>
          <w:rFonts w:ascii="Times New Roman" w:eastAsia="Calibri" w:hAnsi="Times New Roman" w:cs="Times New Roman"/>
          <w:spacing w:val="-2"/>
          <w:szCs w:val="24"/>
        </w:rPr>
        <w:t>i</w:t>
      </w:r>
      <w:proofErr w:type="spellEnd"/>
      <w:r w:rsidRPr="00C91AF7">
        <w:rPr>
          <w:rFonts w:ascii="Times New Roman" w:eastAsia="Calibri" w:hAnsi="Times New Roman" w:cs="Times New Roman"/>
          <w:spacing w:val="-2"/>
          <w:szCs w:val="24"/>
        </w:rPr>
        <w:t xml:space="preserve">. </w:t>
      </w:r>
      <w:r w:rsidR="00C76FCB" w:rsidRPr="00C91AF7">
        <w:rPr>
          <w:rFonts w:ascii="Times New Roman" w:eastAsia="Calibri" w:hAnsi="Times New Roman" w:cs="Times New Roman"/>
          <w:spacing w:val="-2"/>
          <w:szCs w:val="24"/>
        </w:rPr>
        <w:tab/>
        <w:t xml:space="preserve">Within the three </w:t>
      </w:r>
      <w:r w:rsidR="0067344A">
        <w:rPr>
          <w:rFonts w:ascii="Times New Roman" w:eastAsia="Calibri" w:hAnsi="Times New Roman" w:cs="Times New Roman"/>
          <w:spacing w:val="-2"/>
          <w:szCs w:val="24"/>
        </w:rPr>
        <w:t xml:space="preserve">(3) </w:t>
      </w:r>
      <w:r w:rsidR="00403A5F">
        <w:rPr>
          <w:rFonts w:ascii="Times New Roman" w:eastAsia="Calibri" w:hAnsi="Times New Roman" w:cs="Times New Roman"/>
          <w:spacing w:val="-2"/>
          <w:szCs w:val="24"/>
        </w:rPr>
        <w:t xml:space="preserve">business </w:t>
      </w:r>
      <w:r w:rsidR="00C76FCB" w:rsidRPr="00C91AF7">
        <w:rPr>
          <w:rFonts w:ascii="Times New Roman" w:eastAsia="Calibri" w:hAnsi="Times New Roman" w:cs="Times New Roman"/>
          <w:spacing w:val="-2"/>
          <w:szCs w:val="24"/>
        </w:rPr>
        <w:t xml:space="preserve">days following the Ombudsman’s issuance of the Decision, </w:t>
      </w:r>
      <w:r w:rsidR="004D3781" w:rsidRPr="00C91AF7">
        <w:rPr>
          <w:rFonts w:ascii="Times New Roman" w:eastAsia="Calibri" w:hAnsi="Times New Roman" w:cs="Times New Roman"/>
          <w:spacing w:val="-2"/>
          <w:szCs w:val="24"/>
        </w:rPr>
        <w:t>either party may file notice of appeal to the Mississippi State Superintendent of Education, or designee, who shall</w:t>
      </w:r>
      <w:r w:rsidR="0067344A">
        <w:rPr>
          <w:rFonts w:ascii="Times New Roman" w:eastAsia="Calibri" w:hAnsi="Times New Roman" w:cs="Times New Roman"/>
          <w:spacing w:val="-2"/>
          <w:szCs w:val="24"/>
        </w:rPr>
        <w:t>,</w:t>
      </w:r>
      <w:r w:rsidR="004D3781" w:rsidRPr="00C91AF7">
        <w:rPr>
          <w:rFonts w:ascii="Times New Roman" w:eastAsia="Calibri" w:hAnsi="Times New Roman" w:cs="Times New Roman"/>
          <w:spacing w:val="-2"/>
          <w:szCs w:val="24"/>
        </w:rPr>
        <w:t xml:space="preserve"> within the </w:t>
      </w:r>
      <w:r w:rsidR="0067344A">
        <w:rPr>
          <w:rFonts w:ascii="Times New Roman" w:eastAsia="Calibri" w:hAnsi="Times New Roman" w:cs="Times New Roman"/>
          <w:spacing w:val="-2"/>
          <w:szCs w:val="24"/>
        </w:rPr>
        <w:t>ten (10)</w:t>
      </w:r>
      <w:r w:rsidR="004D3781" w:rsidRPr="00C91AF7">
        <w:rPr>
          <w:rFonts w:ascii="Times New Roman" w:eastAsia="Calibri" w:hAnsi="Times New Roman" w:cs="Times New Roman"/>
          <w:spacing w:val="-2"/>
          <w:szCs w:val="24"/>
        </w:rPr>
        <w:t xml:space="preserve"> </w:t>
      </w:r>
      <w:r w:rsidR="009D4F3D">
        <w:rPr>
          <w:rFonts w:ascii="Times New Roman" w:eastAsia="Calibri" w:hAnsi="Times New Roman" w:cs="Times New Roman"/>
          <w:spacing w:val="-2"/>
          <w:szCs w:val="24"/>
        </w:rPr>
        <w:t xml:space="preserve">business </w:t>
      </w:r>
      <w:r w:rsidR="004D3781" w:rsidRPr="00C91AF7">
        <w:rPr>
          <w:rFonts w:ascii="Times New Roman" w:eastAsia="Calibri" w:hAnsi="Times New Roman" w:cs="Times New Roman"/>
          <w:spacing w:val="-2"/>
          <w:szCs w:val="24"/>
        </w:rPr>
        <w:t xml:space="preserve">days following the filing of </w:t>
      </w:r>
      <w:r w:rsidR="0067344A">
        <w:rPr>
          <w:rFonts w:ascii="Times New Roman" w:eastAsia="Calibri" w:hAnsi="Times New Roman" w:cs="Times New Roman"/>
          <w:spacing w:val="-2"/>
          <w:szCs w:val="24"/>
        </w:rPr>
        <w:t xml:space="preserve">said </w:t>
      </w:r>
      <w:r w:rsidR="004D3781" w:rsidRPr="00C91AF7">
        <w:rPr>
          <w:rFonts w:ascii="Times New Roman" w:eastAsia="Calibri" w:hAnsi="Times New Roman" w:cs="Times New Roman"/>
          <w:spacing w:val="-2"/>
          <w:szCs w:val="24"/>
        </w:rPr>
        <w:t>notice</w:t>
      </w:r>
      <w:r w:rsidR="0067344A">
        <w:rPr>
          <w:rFonts w:ascii="Times New Roman" w:eastAsia="Calibri" w:hAnsi="Times New Roman" w:cs="Times New Roman"/>
          <w:spacing w:val="-2"/>
          <w:szCs w:val="24"/>
        </w:rPr>
        <w:t>,</w:t>
      </w:r>
      <w:r w:rsidR="004D3781" w:rsidRPr="00C91AF7">
        <w:rPr>
          <w:rFonts w:ascii="Times New Roman" w:eastAsia="Calibri" w:hAnsi="Times New Roman" w:cs="Times New Roman"/>
          <w:spacing w:val="-2"/>
          <w:szCs w:val="24"/>
        </w:rPr>
        <w:t xml:space="preserve"> review all materials considered in the case, including the transcript if applicable, and affirm, modify or reverse the Ombudsman’s Decision and Order in a written decision issued to the parties. </w:t>
      </w:r>
    </w:p>
    <w:p w14:paraId="404825F4" w14:textId="43FFE6D9" w:rsidR="00A52DBB" w:rsidRPr="00A52DBB" w:rsidRDefault="00C76FCB" w:rsidP="004D3781">
      <w:pPr>
        <w:tabs>
          <w:tab w:val="left" w:pos="1080"/>
        </w:tabs>
        <w:spacing w:after="160" w:line="259" w:lineRule="auto"/>
        <w:ind w:left="720"/>
        <w:jc w:val="both"/>
        <w:rPr>
          <w:rFonts w:ascii="Times New Roman" w:eastAsia="Calibri" w:hAnsi="Times New Roman" w:cs="Times New Roman"/>
          <w:spacing w:val="-2"/>
          <w:szCs w:val="24"/>
        </w:rPr>
      </w:pPr>
      <w:r w:rsidRPr="00C91AF7">
        <w:rPr>
          <w:rFonts w:ascii="Times New Roman" w:eastAsia="Calibri" w:hAnsi="Times New Roman" w:cs="Times New Roman"/>
          <w:spacing w:val="-2"/>
          <w:szCs w:val="24"/>
        </w:rPr>
        <w:t>ii.</w:t>
      </w:r>
      <w:r w:rsidR="004D3781" w:rsidRPr="00C91AF7">
        <w:rPr>
          <w:rFonts w:ascii="Times New Roman" w:eastAsia="Calibri" w:hAnsi="Times New Roman" w:cs="Times New Roman"/>
          <w:spacing w:val="-2"/>
          <w:szCs w:val="24"/>
        </w:rPr>
        <w:tab/>
        <w:t xml:space="preserve">Either party may appeal the decision of the Mississippi State Superintendent of Education </w:t>
      </w:r>
      <w:r w:rsidR="00A52DBB" w:rsidRPr="00C91AF7">
        <w:rPr>
          <w:rFonts w:ascii="Times New Roman" w:eastAsia="Calibri" w:hAnsi="Times New Roman" w:cs="Times New Roman"/>
          <w:spacing w:val="-2"/>
          <w:szCs w:val="24"/>
        </w:rPr>
        <w:t xml:space="preserve">to the Secretary of Education at the United States Department of Education no later than 30 calendar days after the parties’ receipt of the </w:t>
      </w:r>
      <w:r w:rsidR="00E76385" w:rsidRPr="00C91AF7">
        <w:rPr>
          <w:rFonts w:ascii="Times New Roman" w:eastAsia="Calibri" w:hAnsi="Times New Roman" w:cs="Times New Roman"/>
          <w:spacing w:val="-2"/>
          <w:szCs w:val="24"/>
        </w:rPr>
        <w:t>State Superintendent’s d</w:t>
      </w:r>
      <w:r w:rsidR="00A52DBB" w:rsidRPr="00C91AF7">
        <w:rPr>
          <w:rFonts w:ascii="Times New Roman" w:eastAsia="Calibri" w:hAnsi="Times New Roman" w:cs="Times New Roman"/>
          <w:spacing w:val="-2"/>
          <w:szCs w:val="24"/>
        </w:rPr>
        <w:t xml:space="preserve">ecision, or if no </w:t>
      </w:r>
      <w:r w:rsidR="00E76385" w:rsidRPr="00C91AF7">
        <w:rPr>
          <w:rFonts w:ascii="Times New Roman" w:eastAsia="Calibri" w:hAnsi="Times New Roman" w:cs="Times New Roman"/>
          <w:spacing w:val="-2"/>
          <w:szCs w:val="24"/>
        </w:rPr>
        <w:t>d</w:t>
      </w:r>
      <w:r w:rsidR="00A52DBB" w:rsidRPr="00C91AF7">
        <w:rPr>
          <w:rFonts w:ascii="Times New Roman" w:eastAsia="Calibri" w:hAnsi="Times New Roman" w:cs="Times New Roman"/>
          <w:spacing w:val="-2"/>
          <w:szCs w:val="24"/>
        </w:rPr>
        <w:t xml:space="preserve">ecision is issued within 45 calendar days after the filing of the </w:t>
      </w:r>
      <w:r w:rsidR="00E76385" w:rsidRPr="00C91AF7">
        <w:rPr>
          <w:rFonts w:ascii="Times New Roman" w:eastAsia="Calibri" w:hAnsi="Times New Roman" w:cs="Times New Roman"/>
          <w:spacing w:val="-2"/>
          <w:szCs w:val="24"/>
        </w:rPr>
        <w:t xml:space="preserve">initial private school </w:t>
      </w:r>
      <w:r w:rsidR="00A52DBB" w:rsidRPr="00C91AF7">
        <w:rPr>
          <w:rFonts w:ascii="Times New Roman" w:eastAsia="Calibri" w:hAnsi="Times New Roman" w:cs="Times New Roman"/>
          <w:spacing w:val="-2"/>
          <w:szCs w:val="24"/>
        </w:rPr>
        <w:t>Complaint.</w:t>
      </w:r>
    </w:p>
    <w:p w14:paraId="2AE4E320" w14:textId="77777777" w:rsidR="00A52DBB" w:rsidRPr="00A52DBB" w:rsidRDefault="00A52DBB" w:rsidP="00A52DBB">
      <w:pPr>
        <w:widowControl w:val="0"/>
        <w:ind w:left="120" w:right="110"/>
        <w:rPr>
          <w:rFonts w:ascii="Times New Roman" w:hAnsi="Times New Roman" w:cs="Times New Roman"/>
          <w:spacing w:val="-2"/>
          <w:szCs w:val="24"/>
        </w:rPr>
      </w:pPr>
    </w:p>
    <w:p w14:paraId="29EA022A" w14:textId="77777777" w:rsidR="00A52DBB" w:rsidRPr="00A52DBB" w:rsidRDefault="00A52DBB" w:rsidP="00A52DBB">
      <w:pPr>
        <w:widowControl w:val="0"/>
        <w:ind w:left="120" w:right="110"/>
        <w:rPr>
          <w:rFonts w:ascii="Times New Roman" w:hAnsi="Times New Roman" w:cs="Times New Roman"/>
          <w:spacing w:val="-2"/>
          <w:szCs w:val="24"/>
        </w:rPr>
      </w:pPr>
    </w:p>
    <w:p w14:paraId="1161E04D" w14:textId="77777777" w:rsidR="00A52DBB" w:rsidRPr="00A52DBB" w:rsidRDefault="00A52DBB" w:rsidP="00A52DBB">
      <w:pPr>
        <w:widowControl w:val="0"/>
        <w:ind w:left="120" w:right="110"/>
        <w:rPr>
          <w:rFonts w:ascii="Times New Roman" w:hAnsi="Times New Roman" w:cs="Times New Roman"/>
          <w:spacing w:val="-2"/>
          <w:szCs w:val="24"/>
        </w:rPr>
      </w:pPr>
      <w:r w:rsidRPr="00A52DBB">
        <w:rPr>
          <w:rFonts w:ascii="Times New Roman" w:hAnsi="Times New Roman" w:cs="Times New Roman"/>
          <w:spacing w:val="-2"/>
          <w:szCs w:val="24"/>
        </w:rPr>
        <w:t>Sources:</w:t>
      </w:r>
    </w:p>
    <w:p w14:paraId="72E691AF" w14:textId="77777777" w:rsidR="00A52DBB" w:rsidRPr="00A52DBB" w:rsidRDefault="00A52DBB" w:rsidP="00A52DBB">
      <w:pPr>
        <w:widowControl w:val="0"/>
        <w:ind w:left="120" w:right="110"/>
        <w:rPr>
          <w:rFonts w:ascii="Times New Roman" w:hAnsi="Times New Roman" w:cs="Times New Roman"/>
          <w:spacing w:val="-2"/>
          <w:szCs w:val="24"/>
        </w:rPr>
      </w:pPr>
    </w:p>
    <w:p w14:paraId="126FCAC2" w14:textId="77777777" w:rsidR="00A52DBB" w:rsidRPr="00A52DBB" w:rsidRDefault="00A52DBB" w:rsidP="00A52DBB">
      <w:pPr>
        <w:tabs>
          <w:tab w:val="left" w:pos="990"/>
        </w:tabs>
        <w:spacing w:after="160" w:line="259" w:lineRule="auto"/>
        <w:ind w:left="720"/>
        <w:rPr>
          <w:rFonts w:ascii="Times New Roman" w:eastAsia="Calibri" w:hAnsi="Times New Roman" w:cs="Times New Roman"/>
          <w:szCs w:val="24"/>
        </w:rPr>
      </w:pPr>
      <w:r w:rsidRPr="00A52DBB">
        <w:rPr>
          <w:rFonts w:ascii="Times New Roman" w:eastAsia="Calibri" w:hAnsi="Times New Roman" w:cs="Times New Roman"/>
          <w:i/>
          <w:szCs w:val="24"/>
        </w:rPr>
        <w:t>ESSA</w:t>
      </w:r>
      <w:r w:rsidRPr="00A52DBB">
        <w:rPr>
          <w:rFonts w:ascii="Times New Roman" w:eastAsia="Calibri" w:hAnsi="Times New Roman" w:cs="Times New Roman"/>
          <w:szCs w:val="24"/>
        </w:rPr>
        <w:t xml:space="preserve"> § 1117 [20 U.S.C. 6320 (Rev. 2017)] (a)(3)(B) and </w:t>
      </w:r>
    </w:p>
    <w:p w14:paraId="65C22268" w14:textId="77777777" w:rsidR="00A52DBB" w:rsidRPr="00A52DBB" w:rsidRDefault="00A52DBB" w:rsidP="00A52DBB">
      <w:pPr>
        <w:tabs>
          <w:tab w:val="left" w:pos="990"/>
          <w:tab w:val="left" w:pos="1260"/>
        </w:tabs>
        <w:spacing w:after="160" w:line="259" w:lineRule="auto"/>
        <w:ind w:left="720"/>
        <w:rPr>
          <w:rFonts w:ascii="Times New Roman" w:hAnsi="Times New Roman" w:cs="Times New Roman"/>
          <w:szCs w:val="24"/>
        </w:rPr>
      </w:pPr>
      <w:r w:rsidRPr="00A52DBB">
        <w:rPr>
          <w:rFonts w:ascii="Times New Roman" w:eastAsia="Calibri" w:hAnsi="Times New Roman" w:cs="Times New Roman"/>
          <w:i/>
          <w:szCs w:val="24"/>
        </w:rPr>
        <w:tab/>
      </w:r>
      <w:r w:rsidRPr="00A52DBB">
        <w:rPr>
          <w:rFonts w:ascii="Times New Roman" w:eastAsia="Calibri" w:hAnsi="Times New Roman" w:cs="Times New Roman"/>
          <w:i/>
          <w:szCs w:val="24"/>
        </w:rPr>
        <w:tab/>
        <w:t xml:space="preserve"> </w:t>
      </w:r>
      <w:r w:rsidRPr="00A52DBB">
        <w:rPr>
          <w:rFonts w:ascii="Times New Roman" w:eastAsia="Calibri" w:hAnsi="Times New Roman" w:cs="Times New Roman"/>
          <w:szCs w:val="24"/>
        </w:rPr>
        <w:t>§ 8501 [20 U.S.C. 7881 (Rev. 2017)] (a)(3)(B)</w:t>
      </w:r>
    </w:p>
    <w:p w14:paraId="63AED6E1" w14:textId="77777777" w:rsidR="00A52DBB" w:rsidRPr="00A52DBB" w:rsidRDefault="00A52DBB" w:rsidP="00A52DBB">
      <w:pPr>
        <w:tabs>
          <w:tab w:val="left" w:pos="990"/>
        </w:tabs>
        <w:spacing w:after="160" w:line="259" w:lineRule="auto"/>
        <w:ind w:left="720"/>
        <w:rPr>
          <w:rFonts w:ascii="Times New Roman" w:eastAsia="Calibri" w:hAnsi="Times New Roman" w:cs="Times New Roman"/>
          <w:szCs w:val="24"/>
        </w:rPr>
      </w:pPr>
      <w:r w:rsidRPr="00A52DBB">
        <w:rPr>
          <w:rFonts w:ascii="Times New Roman" w:eastAsia="Calibri" w:hAnsi="Times New Roman" w:cs="Times New Roman"/>
          <w:i/>
          <w:szCs w:val="24"/>
        </w:rPr>
        <w:t>ESSA</w:t>
      </w:r>
      <w:r w:rsidRPr="00A52DBB">
        <w:rPr>
          <w:rFonts w:ascii="Times New Roman" w:eastAsia="Calibri" w:hAnsi="Times New Roman" w:cs="Times New Roman"/>
          <w:szCs w:val="24"/>
        </w:rPr>
        <w:t xml:space="preserve"> § 1117 [20 U.S.C. 6320 (Rev. 2017)] (b)(6) and </w:t>
      </w:r>
    </w:p>
    <w:p w14:paraId="4576738B" w14:textId="77777777" w:rsidR="00A52DBB" w:rsidRPr="00A52DBB" w:rsidRDefault="00A52DBB" w:rsidP="00A52DBB">
      <w:pPr>
        <w:tabs>
          <w:tab w:val="left" w:pos="990"/>
          <w:tab w:val="left" w:pos="1260"/>
        </w:tabs>
        <w:spacing w:after="160" w:line="259" w:lineRule="auto"/>
        <w:ind w:left="720"/>
        <w:rPr>
          <w:rFonts w:ascii="Times New Roman" w:hAnsi="Times New Roman" w:cs="Times New Roman"/>
          <w:szCs w:val="24"/>
        </w:rPr>
      </w:pPr>
      <w:r w:rsidRPr="00A52DBB">
        <w:rPr>
          <w:rFonts w:ascii="Times New Roman" w:eastAsia="Calibri" w:hAnsi="Times New Roman" w:cs="Times New Roman"/>
          <w:i/>
          <w:szCs w:val="24"/>
        </w:rPr>
        <w:tab/>
      </w:r>
      <w:r w:rsidRPr="00A52DBB">
        <w:rPr>
          <w:rFonts w:ascii="Times New Roman" w:eastAsia="Calibri" w:hAnsi="Times New Roman" w:cs="Times New Roman"/>
          <w:i/>
          <w:szCs w:val="24"/>
        </w:rPr>
        <w:tab/>
        <w:t xml:space="preserve"> </w:t>
      </w:r>
      <w:r w:rsidRPr="00A52DBB">
        <w:rPr>
          <w:rFonts w:ascii="Times New Roman" w:eastAsia="Calibri" w:hAnsi="Times New Roman" w:cs="Times New Roman"/>
          <w:szCs w:val="24"/>
        </w:rPr>
        <w:t>§ 8501 [20 U.S.C. 7881 (Rev. 2017)] (c)(6)</w:t>
      </w:r>
    </w:p>
    <w:p w14:paraId="6C3B745C" w14:textId="77777777" w:rsidR="00A52DBB" w:rsidRPr="00A52DBB" w:rsidRDefault="00A52DBB" w:rsidP="00A52DBB">
      <w:pPr>
        <w:tabs>
          <w:tab w:val="left" w:pos="990"/>
        </w:tabs>
        <w:spacing w:after="160" w:line="259" w:lineRule="auto"/>
        <w:ind w:left="720"/>
        <w:rPr>
          <w:rFonts w:ascii="Times New Roman" w:eastAsia="Calibri" w:hAnsi="Times New Roman" w:cs="Times New Roman"/>
          <w:szCs w:val="24"/>
        </w:rPr>
      </w:pPr>
      <w:r w:rsidRPr="00A52DBB">
        <w:rPr>
          <w:rFonts w:ascii="Times New Roman" w:eastAsia="Calibri" w:hAnsi="Times New Roman" w:cs="Times New Roman"/>
          <w:szCs w:val="24"/>
        </w:rPr>
        <w:t>34 C.F.R. § 76.671(b)(3)(ii) et seq. (Rev. 2017)</w:t>
      </w:r>
      <w:r w:rsidRPr="00A52DBB">
        <w:rPr>
          <w:rFonts w:ascii="Times New Roman" w:eastAsia="Calibri" w:hAnsi="Times New Roman" w:cs="Times New Roman"/>
          <w:szCs w:val="24"/>
        </w:rPr>
        <w:tab/>
      </w:r>
    </w:p>
    <w:p w14:paraId="3FEBD798" w14:textId="77777777" w:rsidR="00A52DBB" w:rsidRPr="00A52DBB" w:rsidRDefault="00A52DBB" w:rsidP="00A52DBB">
      <w:pPr>
        <w:tabs>
          <w:tab w:val="left" w:pos="990"/>
        </w:tabs>
        <w:spacing w:after="160" w:line="259" w:lineRule="auto"/>
        <w:ind w:left="720"/>
        <w:rPr>
          <w:rFonts w:ascii="Times New Roman" w:hAnsi="Times New Roman" w:cs="Times New Roman"/>
          <w:szCs w:val="24"/>
        </w:rPr>
      </w:pPr>
      <w:r w:rsidRPr="00A52DBB">
        <w:rPr>
          <w:rFonts w:ascii="Times New Roman" w:eastAsia="Calibri" w:hAnsi="Times New Roman" w:cs="Times New Roman"/>
          <w:szCs w:val="24"/>
        </w:rPr>
        <w:t>34 C.F.R. § 76.674(a)(2)(ii) (Rev. 2017)</w:t>
      </w:r>
    </w:p>
    <w:p w14:paraId="55BACAE4" w14:textId="77777777" w:rsidR="00A52DBB" w:rsidRPr="00A52DBB" w:rsidRDefault="00A52DBB" w:rsidP="00A52DBB">
      <w:pPr>
        <w:tabs>
          <w:tab w:val="left" w:pos="990"/>
        </w:tabs>
        <w:spacing w:after="160" w:line="259" w:lineRule="auto"/>
        <w:ind w:left="720"/>
        <w:rPr>
          <w:rFonts w:ascii="Times New Roman" w:hAnsi="Times New Roman" w:cs="Times New Roman"/>
          <w:szCs w:val="24"/>
        </w:rPr>
      </w:pPr>
      <w:r w:rsidRPr="00A52DBB">
        <w:rPr>
          <w:rFonts w:ascii="Times New Roman" w:eastAsia="Calibri" w:hAnsi="Times New Roman" w:cs="Times New Roman"/>
          <w:i/>
          <w:szCs w:val="24"/>
        </w:rPr>
        <w:t>ESSA</w:t>
      </w:r>
      <w:r w:rsidRPr="00A52DBB">
        <w:rPr>
          <w:rFonts w:ascii="Times New Roman" w:eastAsia="Calibri" w:hAnsi="Times New Roman" w:cs="Times New Roman"/>
          <w:szCs w:val="24"/>
        </w:rPr>
        <w:t xml:space="preserve"> § 8503 [20 U.S.C. 7883] (b) (Rev. 2017)</w:t>
      </w:r>
    </w:p>
    <w:p w14:paraId="7A068383" w14:textId="77777777" w:rsidR="00A52DBB" w:rsidRPr="00A52DBB" w:rsidRDefault="00A52DBB" w:rsidP="00A52DBB">
      <w:pPr>
        <w:tabs>
          <w:tab w:val="left" w:pos="990"/>
        </w:tabs>
        <w:spacing w:after="160" w:line="259" w:lineRule="auto"/>
        <w:ind w:left="720"/>
        <w:rPr>
          <w:rFonts w:ascii="Times New Roman" w:hAnsi="Times New Roman" w:cs="Times New Roman"/>
          <w:i/>
          <w:szCs w:val="24"/>
        </w:rPr>
      </w:pPr>
      <w:r w:rsidRPr="00A52DBB">
        <w:rPr>
          <w:rFonts w:ascii="Times New Roman" w:hAnsi="Times New Roman" w:cs="Times New Roman"/>
          <w:i/>
          <w:szCs w:val="24"/>
        </w:rPr>
        <w:t xml:space="preserve">Miss. Code Ann. </w:t>
      </w:r>
      <w:r w:rsidRPr="00A52DBB">
        <w:rPr>
          <w:rFonts w:ascii="Times New Roman" w:hAnsi="Times New Roman" w:cs="Times New Roman"/>
          <w:szCs w:val="24"/>
        </w:rPr>
        <w:t>§ 37-3-11(c)</w:t>
      </w:r>
      <w:r w:rsidRPr="00A52DBB">
        <w:rPr>
          <w:rFonts w:ascii="Times New Roman" w:hAnsi="Times New Roman" w:cs="Times New Roman"/>
          <w:i/>
          <w:szCs w:val="24"/>
        </w:rPr>
        <w:t xml:space="preserve"> </w:t>
      </w:r>
      <w:r w:rsidRPr="00A52DBB">
        <w:rPr>
          <w:rFonts w:ascii="Times New Roman" w:eastAsia="Calibri" w:hAnsi="Times New Roman" w:cs="Times New Roman"/>
          <w:szCs w:val="24"/>
        </w:rPr>
        <w:t>(Rev. 2017)</w:t>
      </w:r>
    </w:p>
    <w:p w14:paraId="66F02E00" w14:textId="77777777" w:rsidR="00A52DBB" w:rsidRPr="00A52DBB" w:rsidRDefault="00A52DBB" w:rsidP="00A52DBB">
      <w:pPr>
        <w:tabs>
          <w:tab w:val="left" w:pos="990"/>
        </w:tabs>
        <w:spacing w:after="160" w:line="259" w:lineRule="auto"/>
        <w:ind w:left="720"/>
        <w:rPr>
          <w:rFonts w:ascii="Times New Roman" w:hAnsi="Times New Roman" w:cs="Times New Roman"/>
          <w:szCs w:val="24"/>
        </w:rPr>
      </w:pPr>
      <w:r w:rsidRPr="00A52DBB">
        <w:rPr>
          <w:rFonts w:ascii="Times New Roman" w:hAnsi="Times New Roman" w:cs="Times New Roman"/>
          <w:i/>
          <w:szCs w:val="24"/>
        </w:rPr>
        <w:t xml:space="preserve">Miss. Code Ann. </w:t>
      </w:r>
      <w:r w:rsidRPr="00A52DBB">
        <w:rPr>
          <w:rFonts w:ascii="Times New Roman" w:hAnsi="Times New Roman" w:cs="Times New Roman"/>
          <w:szCs w:val="24"/>
        </w:rPr>
        <w:t>§ 37-1-3</w:t>
      </w:r>
      <w:r w:rsidRPr="00A52DBB">
        <w:rPr>
          <w:rFonts w:ascii="Times New Roman" w:eastAsia="Calibri" w:hAnsi="Times New Roman" w:cs="Times New Roman"/>
          <w:szCs w:val="24"/>
        </w:rPr>
        <w:t xml:space="preserve"> (Rev. 2017)</w:t>
      </w:r>
    </w:p>
    <w:p w14:paraId="2721A81E" w14:textId="77777777" w:rsidR="00A52DBB" w:rsidRDefault="00A52DBB" w:rsidP="00A52DBB">
      <w:pPr>
        <w:pStyle w:val="BodyTextIndent2"/>
        <w:ind w:left="0"/>
      </w:pPr>
    </w:p>
    <w:sectPr w:rsidR="00A52DBB" w:rsidSect="00A52DBB">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69CB" w14:textId="77777777" w:rsidR="00213F65" w:rsidRDefault="00213F65" w:rsidP="00FC10F5">
      <w:r>
        <w:separator/>
      </w:r>
    </w:p>
  </w:endnote>
  <w:endnote w:type="continuationSeparator" w:id="0">
    <w:p w14:paraId="684E0608" w14:textId="77777777" w:rsidR="00213F65" w:rsidRDefault="00213F65" w:rsidP="00FC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02B1" w14:textId="38C4BB3F" w:rsidR="00A52DBB" w:rsidRPr="00A52DBB" w:rsidRDefault="00A52DBB">
    <w:pPr>
      <w:pStyle w:val="Footer"/>
      <w:jc w:val="center"/>
      <w:rPr>
        <w:rFonts w:ascii="Times New Roman" w:hAnsi="Times New Roman"/>
      </w:rPr>
    </w:pPr>
    <w:r w:rsidRPr="00A52DBB">
      <w:rPr>
        <w:rFonts w:ascii="Times New Roman" w:hAnsi="Times New Roman"/>
      </w:rPr>
      <w:fldChar w:fldCharType="begin"/>
    </w:r>
    <w:r w:rsidRPr="00A52DBB">
      <w:rPr>
        <w:rFonts w:ascii="Times New Roman" w:hAnsi="Times New Roman"/>
      </w:rPr>
      <w:instrText xml:space="preserve"> PAGE   \* MERGEFORMAT </w:instrText>
    </w:r>
    <w:r w:rsidRPr="00A52DBB">
      <w:rPr>
        <w:rFonts w:ascii="Times New Roman" w:hAnsi="Times New Roman"/>
      </w:rPr>
      <w:fldChar w:fldCharType="separate"/>
    </w:r>
    <w:r w:rsidR="00411292">
      <w:rPr>
        <w:rFonts w:ascii="Times New Roman" w:hAnsi="Times New Roman"/>
        <w:noProof/>
      </w:rPr>
      <w:t>2</w:t>
    </w:r>
    <w:r w:rsidRPr="00A52DBB">
      <w:rPr>
        <w:rFonts w:ascii="Times New Roman" w:hAnsi="Times New Roman"/>
        <w:noProof/>
      </w:rPr>
      <w:fldChar w:fldCharType="end"/>
    </w:r>
  </w:p>
  <w:p w14:paraId="7A950502" w14:textId="77777777" w:rsidR="00A52DBB" w:rsidRDefault="00A5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ADED" w14:textId="77777777" w:rsidR="00213F65" w:rsidRDefault="00213F65" w:rsidP="00FC10F5">
      <w:r>
        <w:separator/>
      </w:r>
    </w:p>
  </w:footnote>
  <w:footnote w:type="continuationSeparator" w:id="0">
    <w:p w14:paraId="4B10FE23" w14:textId="77777777" w:rsidR="00213F65" w:rsidRDefault="00213F65" w:rsidP="00FC1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87D"/>
    <w:multiLevelType w:val="hybridMultilevel"/>
    <w:tmpl w:val="EAA2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2C59"/>
    <w:multiLevelType w:val="hybridMultilevel"/>
    <w:tmpl w:val="EC681748"/>
    <w:lvl w:ilvl="0" w:tplc="2DC42AEC">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89528D"/>
    <w:multiLevelType w:val="hybridMultilevel"/>
    <w:tmpl w:val="48601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76"/>
    <w:rsid w:val="00017D05"/>
    <w:rsid w:val="00026BC3"/>
    <w:rsid w:val="0003077A"/>
    <w:rsid w:val="00031F5F"/>
    <w:rsid w:val="0009592C"/>
    <w:rsid w:val="000962EB"/>
    <w:rsid w:val="000A56E8"/>
    <w:rsid w:val="000C0FEC"/>
    <w:rsid w:val="000D6B1A"/>
    <w:rsid w:val="001010B8"/>
    <w:rsid w:val="001140C6"/>
    <w:rsid w:val="001146F8"/>
    <w:rsid w:val="00143D9C"/>
    <w:rsid w:val="001704F4"/>
    <w:rsid w:val="00176C00"/>
    <w:rsid w:val="001A1D1D"/>
    <w:rsid w:val="001A62D4"/>
    <w:rsid w:val="00213F65"/>
    <w:rsid w:val="002160D0"/>
    <w:rsid w:val="002669DD"/>
    <w:rsid w:val="00277256"/>
    <w:rsid w:val="002A0449"/>
    <w:rsid w:val="002A563E"/>
    <w:rsid w:val="002F18C7"/>
    <w:rsid w:val="00306590"/>
    <w:rsid w:val="00342CA4"/>
    <w:rsid w:val="00380D6B"/>
    <w:rsid w:val="00382741"/>
    <w:rsid w:val="003A7803"/>
    <w:rsid w:val="003A78FB"/>
    <w:rsid w:val="003B00AD"/>
    <w:rsid w:val="003B458B"/>
    <w:rsid w:val="003C4FF2"/>
    <w:rsid w:val="004002CB"/>
    <w:rsid w:val="00403A5F"/>
    <w:rsid w:val="00411292"/>
    <w:rsid w:val="0041674E"/>
    <w:rsid w:val="004555E1"/>
    <w:rsid w:val="00467E04"/>
    <w:rsid w:val="004C4C4C"/>
    <w:rsid w:val="004D3781"/>
    <w:rsid w:val="004D569F"/>
    <w:rsid w:val="004E7398"/>
    <w:rsid w:val="005360A1"/>
    <w:rsid w:val="00543C5F"/>
    <w:rsid w:val="0056204F"/>
    <w:rsid w:val="0056622C"/>
    <w:rsid w:val="005A4884"/>
    <w:rsid w:val="005B52F7"/>
    <w:rsid w:val="005D09BA"/>
    <w:rsid w:val="005E2C36"/>
    <w:rsid w:val="00630563"/>
    <w:rsid w:val="00637312"/>
    <w:rsid w:val="00641B01"/>
    <w:rsid w:val="00650BAC"/>
    <w:rsid w:val="006522DD"/>
    <w:rsid w:val="00665B3C"/>
    <w:rsid w:val="00666E02"/>
    <w:rsid w:val="0067344A"/>
    <w:rsid w:val="00692FE2"/>
    <w:rsid w:val="006C041F"/>
    <w:rsid w:val="006C225E"/>
    <w:rsid w:val="006D460E"/>
    <w:rsid w:val="00704D6C"/>
    <w:rsid w:val="00785DB4"/>
    <w:rsid w:val="007C6F1D"/>
    <w:rsid w:val="007D01A3"/>
    <w:rsid w:val="007E42E5"/>
    <w:rsid w:val="007F3421"/>
    <w:rsid w:val="0080345B"/>
    <w:rsid w:val="00803CF6"/>
    <w:rsid w:val="008172CD"/>
    <w:rsid w:val="008F4BA8"/>
    <w:rsid w:val="009543BD"/>
    <w:rsid w:val="00963106"/>
    <w:rsid w:val="0097002F"/>
    <w:rsid w:val="00971876"/>
    <w:rsid w:val="009B4481"/>
    <w:rsid w:val="009B5F06"/>
    <w:rsid w:val="009D4F3D"/>
    <w:rsid w:val="00A25412"/>
    <w:rsid w:val="00A31220"/>
    <w:rsid w:val="00A35770"/>
    <w:rsid w:val="00A4798A"/>
    <w:rsid w:val="00A52DBB"/>
    <w:rsid w:val="00AA0E88"/>
    <w:rsid w:val="00AA5F45"/>
    <w:rsid w:val="00AB2313"/>
    <w:rsid w:val="00AB525E"/>
    <w:rsid w:val="00AC6C45"/>
    <w:rsid w:val="00AE722C"/>
    <w:rsid w:val="00AE7297"/>
    <w:rsid w:val="00B07EEF"/>
    <w:rsid w:val="00B40B56"/>
    <w:rsid w:val="00B72F78"/>
    <w:rsid w:val="00B90E3B"/>
    <w:rsid w:val="00BB7F99"/>
    <w:rsid w:val="00BC3D2F"/>
    <w:rsid w:val="00BD26D1"/>
    <w:rsid w:val="00BE3207"/>
    <w:rsid w:val="00C04D13"/>
    <w:rsid w:val="00C4357F"/>
    <w:rsid w:val="00C452B6"/>
    <w:rsid w:val="00C6499A"/>
    <w:rsid w:val="00C76FCB"/>
    <w:rsid w:val="00C82391"/>
    <w:rsid w:val="00C91AF7"/>
    <w:rsid w:val="00CD7252"/>
    <w:rsid w:val="00CE74D6"/>
    <w:rsid w:val="00CF40DB"/>
    <w:rsid w:val="00CF6923"/>
    <w:rsid w:val="00D5224D"/>
    <w:rsid w:val="00D6270D"/>
    <w:rsid w:val="00D86B67"/>
    <w:rsid w:val="00D90033"/>
    <w:rsid w:val="00DA2D78"/>
    <w:rsid w:val="00DD35F3"/>
    <w:rsid w:val="00DF34AD"/>
    <w:rsid w:val="00E300A5"/>
    <w:rsid w:val="00E51DD3"/>
    <w:rsid w:val="00E6250A"/>
    <w:rsid w:val="00E76385"/>
    <w:rsid w:val="00ED0A9A"/>
    <w:rsid w:val="00F27728"/>
    <w:rsid w:val="00FC10F5"/>
    <w:rsid w:val="00FE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E409"/>
  <w15:chartTrackingRefBased/>
  <w15:docId w15:val="{A4B08170-7F58-473F-B9BF-5276AE73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rPr>
  </w:style>
  <w:style w:type="paragraph" w:styleId="Heading3">
    <w:name w:val="heading 3"/>
    <w:basedOn w:val="Normal"/>
    <w:next w:val="Normal"/>
    <w:link w:val="Heading3Char"/>
    <w:uiPriority w:val="9"/>
    <w:qFormat/>
    <w:pPr>
      <w:keepNext/>
      <w:outlineLvl w:val="2"/>
    </w:pPr>
    <w:rPr>
      <w:rFonts w:cs="Times New Roman"/>
      <w:lang w:val="x-none" w:eastAsia="x-none"/>
    </w:rPr>
  </w:style>
  <w:style w:type="paragraph" w:styleId="Heading5">
    <w:name w:val="heading 5"/>
    <w:basedOn w:val="Normal"/>
    <w:next w:val="Normal"/>
    <w:qFormat/>
    <w:pPr>
      <w:keepNext/>
      <w:jc w:val="center"/>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widowControl w:val="0"/>
      <w:ind w:left="720"/>
      <w:jc w:val="both"/>
    </w:pPr>
    <w:rPr>
      <w:snapToGrid w:val="0"/>
    </w:rPr>
  </w:style>
  <w:style w:type="paragraph" w:styleId="BodyText2">
    <w:name w:val="Body Text 2"/>
    <w:basedOn w:val="Normal"/>
    <w:semiHidden/>
    <w:pPr>
      <w:jc w:val="both"/>
    </w:pPr>
    <w:rPr>
      <w:rFonts w:cs="Times New Roman"/>
    </w:rPr>
  </w:style>
  <w:style w:type="paragraph" w:styleId="Header">
    <w:name w:val="header"/>
    <w:basedOn w:val="Normal"/>
    <w:semiHidden/>
    <w:pPr>
      <w:tabs>
        <w:tab w:val="center" w:pos="4320"/>
        <w:tab w:val="right" w:pos="8640"/>
      </w:tabs>
    </w:pPr>
    <w:rPr>
      <w:rFonts w:cs="Times New Roman"/>
    </w:rPr>
  </w:style>
  <w:style w:type="paragraph" w:styleId="Title">
    <w:name w:val="Title"/>
    <w:basedOn w:val="Normal"/>
    <w:link w:val="TitleChar"/>
    <w:uiPriority w:val="10"/>
    <w:qFormat/>
    <w:pPr>
      <w:jc w:val="center"/>
    </w:pPr>
    <w:rPr>
      <w:rFonts w:cs="Times New Roman"/>
      <w:lang w:val="x-none" w:eastAsia="x-none"/>
    </w:rPr>
  </w:style>
  <w:style w:type="paragraph" w:styleId="Footer">
    <w:name w:val="footer"/>
    <w:basedOn w:val="Normal"/>
    <w:link w:val="FooterChar"/>
    <w:uiPriority w:val="99"/>
    <w:unhideWhenUsed/>
    <w:rsid w:val="00FC10F5"/>
    <w:pPr>
      <w:tabs>
        <w:tab w:val="center" w:pos="4680"/>
        <w:tab w:val="right" w:pos="9360"/>
      </w:tabs>
    </w:pPr>
    <w:rPr>
      <w:rFonts w:cs="Times New Roman"/>
      <w:lang w:val="x-none" w:eastAsia="x-none"/>
    </w:rPr>
  </w:style>
  <w:style w:type="character" w:customStyle="1" w:styleId="FooterChar">
    <w:name w:val="Footer Char"/>
    <w:link w:val="Footer"/>
    <w:uiPriority w:val="99"/>
    <w:rsid w:val="00FC10F5"/>
    <w:rPr>
      <w:rFonts w:ascii="Arial" w:hAnsi="Arial" w:cs="Arial"/>
      <w:sz w:val="24"/>
    </w:rPr>
  </w:style>
  <w:style w:type="character" w:customStyle="1" w:styleId="Heading3Char">
    <w:name w:val="Heading 3 Char"/>
    <w:link w:val="Heading3"/>
    <w:uiPriority w:val="9"/>
    <w:rsid w:val="00FC10F5"/>
    <w:rPr>
      <w:rFonts w:ascii="Arial" w:hAnsi="Arial"/>
      <w:sz w:val="24"/>
    </w:rPr>
  </w:style>
  <w:style w:type="character" w:customStyle="1" w:styleId="TitleChar">
    <w:name w:val="Title Char"/>
    <w:link w:val="Title"/>
    <w:uiPriority w:val="10"/>
    <w:rsid w:val="00FC10F5"/>
    <w:rPr>
      <w:rFonts w:ascii="Arial" w:hAnsi="Arial"/>
      <w:sz w:val="24"/>
    </w:rPr>
  </w:style>
  <w:style w:type="paragraph" w:styleId="ListParagraph">
    <w:name w:val="List Paragraph"/>
    <w:basedOn w:val="Normal"/>
    <w:uiPriority w:val="34"/>
    <w:qFormat/>
    <w:rsid w:val="00C6499A"/>
    <w:pPr>
      <w:ind w:left="720"/>
      <w:contextualSpacing/>
    </w:pPr>
    <w:rPr>
      <w:rFonts w:ascii="Times New Roman" w:hAnsi="Times New Roman" w:cs="Times New Roman"/>
      <w:sz w:val="20"/>
    </w:rPr>
  </w:style>
  <w:style w:type="paragraph" w:customStyle="1" w:styleId="Style0">
    <w:name w:val="Style0"/>
    <w:rsid w:val="007C6F1D"/>
    <w:rPr>
      <w:rFonts w:ascii="Arial" w:hAnsi="Arial"/>
      <w:sz w:val="24"/>
    </w:rPr>
  </w:style>
  <w:style w:type="paragraph" w:styleId="BodyText">
    <w:name w:val="Body Text"/>
    <w:basedOn w:val="Normal"/>
    <w:link w:val="BodyTextChar"/>
    <w:uiPriority w:val="99"/>
    <w:semiHidden/>
    <w:unhideWhenUsed/>
    <w:rsid w:val="00AA0E88"/>
    <w:pPr>
      <w:spacing w:after="120"/>
    </w:pPr>
  </w:style>
  <w:style w:type="character" w:customStyle="1" w:styleId="BodyTextChar">
    <w:name w:val="Body Text Char"/>
    <w:link w:val="BodyText"/>
    <w:uiPriority w:val="99"/>
    <w:semiHidden/>
    <w:rsid w:val="00AA0E8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407">
      <w:bodyDiv w:val="1"/>
      <w:marLeft w:val="0"/>
      <w:marRight w:val="0"/>
      <w:marTop w:val="0"/>
      <w:marBottom w:val="0"/>
      <w:divBdr>
        <w:top w:val="none" w:sz="0" w:space="0" w:color="auto"/>
        <w:left w:val="none" w:sz="0" w:space="0" w:color="auto"/>
        <w:bottom w:val="none" w:sz="0" w:space="0" w:color="auto"/>
        <w:right w:val="none" w:sz="0" w:space="0" w:color="auto"/>
      </w:divBdr>
    </w:div>
    <w:div w:id="541750439">
      <w:bodyDiv w:val="1"/>
      <w:marLeft w:val="0"/>
      <w:marRight w:val="0"/>
      <w:marTop w:val="0"/>
      <w:marBottom w:val="0"/>
      <w:divBdr>
        <w:top w:val="none" w:sz="0" w:space="0" w:color="auto"/>
        <w:left w:val="none" w:sz="0" w:space="0" w:color="auto"/>
        <w:bottom w:val="none" w:sz="0" w:space="0" w:color="auto"/>
        <w:right w:val="none" w:sz="0" w:space="0" w:color="auto"/>
      </w:divBdr>
    </w:div>
    <w:div w:id="1737165491">
      <w:bodyDiv w:val="1"/>
      <w:marLeft w:val="0"/>
      <w:marRight w:val="0"/>
      <w:marTop w:val="0"/>
      <w:marBottom w:val="0"/>
      <w:divBdr>
        <w:top w:val="none" w:sz="0" w:space="0" w:color="auto"/>
        <w:left w:val="none" w:sz="0" w:space="0" w:color="auto"/>
        <w:bottom w:val="none" w:sz="0" w:space="0" w:color="auto"/>
        <w:right w:val="none" w:sz="0" w:space="0" w:color="auto"/>
      </w:divBdr>
    </w:div>
    <w:div w:id="20055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8F12-8340-4428-9161-F0CF177C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dc:creator>Wendy Naron</dc:creator>
  <cp:keywords/>
  <cp:lastModifiedBy>Bryan Lieb</cp:lastModifiedBy>
  <cp:revision>2</cp:revision>
  <cp:lastPrinted>2018-02-16T17:17:00Z</cp:lastPrinted>
  <dcterms:created xsi:type="dcterms:W3CDTF">2018-04-18T14:04:00Z</dcterms:created>
  <dcterms:modified xsi:type="dcterms:W3CDTF">2018-04-18T14:04:00Z</dcterms:modified>
</cp:coreProperties>
</file>