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C179" w14:textId="77777777" w:rsidR="004A7D7B" w:rsidRPr="00721FE4" w:rsidRDefault="004A7D7B" w:rsidP="00721FE4">
      <w:pPr>
        <w:spacing w:after="0" w:line="240" w:lineRule="auto"/>
        <w:jc w:val="center"/>
        <w:rPr>
          <w:b/>
          <w:sz w:val="24"/>
        </w:rPr>
      </w:pPr>
      <w:r w:rsidRPr="00721FE4">
        <w:rPr>
          <w:b/>
          <w:sz w:val="24"/>
        </w:rPr>
        <w:t>New Jersey Department of Education</w:t>
      </w:r>
    </w:p>
    <w:p w14:paraId="4C2422C3" w14:textId="77777777" w:rsidR="00FD5ABB" w:rsidRPr="00721FE4" w:rsidRDefault="004A7D7B" w:rsidP="00721FE4">
      <w:pPr>
        <w:spacing w:after="0" w:line="240" w:lineRule="auto"/>
        <w:jc w:val="center"/>
        <w:rPr>
          <w:b/>
          <w:sz w:val="24"/>
        </w:rPr>
      </w:pPr>
      <w:r w:rsidRPr="00721FE4">
        <w:rPr>
          <w:b/>
          <w:sz w:val="24"/>
        </w:rPr>
        <w:t>Collaborative Monitoring Risk Assessment Tool</w:t>
      </w:r>
    </w:p>
    <w:p w14:paraId="21566A95" w14:textId="77777777" w:rsidR="004A7D7B" w:rsidRDefault="004A7D7B" w:rsidP="004A7D7B">
      <w:pPr>
        <w:spacing w:after="0" w:line="240" w:lineRule="auto"/>
      </w:pPr>
    </w:p>
    <w:p w14:paraId="0B43A482" w14:textId="77777777" w:rsidR="00721FE4" w:rsidRPr="00FF4264" w:rsidRDefault="00721FE4" w:rsidP="00721FE4">
      <w:pPr>
        <w:pStyle w:val="Heading2"/>
        <w:rPr>
          <w:b/>
          <w:caps w:val="0"/>
          <w:sz w:val="24"/>
          <w:szCs w:val="24"/>
        </w:rPr>
      </w:pPr>
      <w:r w:rsidRPr="00FF4264">
        <w:rPr>
          <w:b/>
          <w:caps w:val="0"/>
          <w:sz w:val="24"/>
          <w:szCs w:val="24"/>
        </w:rPr>
        <w:t>Purpose</w:t>
      </w:r>
    </w:p>
    <w:p w14:paraId="3D0AC28E" w14:textId="335ED044" w:rsidR="004A7D7B" w:rsidRDefault="00CA74FA">
      <w:pPr>
        <w:pStyle w:val="psection-1"/>
        <w:spacing w:before="150" w:beforeAutospacing="0" w:after="150" w:afterAutospacing="0"/>
        <w:rPr>
          <w:rFonts w:asciiTheme="minorHAnsi" w:hAnsiTheme="minorHAnsi" w:cstheme="minorBidi"/>
          <w:sz w:val="22"/>
          <w:szCs w:val="22"/>
        </w:rPr>
      </w:pPr>
      <w:r>
        <w:rPr>
          <w:noProof/>
          <w:color w:val="2B579A"/>
          <w:shd w:val="clear" w:color="auto" w:fill="E6E6E6"/>
        </w:rPr>
        <w:drawing>
          <wp:anchor distT="0" distB="0" distL="114300" distR="114300" simplePos="0" relativeHeight="251665408" behindDoc="1" locked="0" layoutInCell="1" allowOverlap="1" wp14:anchorId="5C431F1A" wp14:editId="33EBCEE9">
            <wp:simplePos x="0" y="0"/>
            <wp:positionH relativeFrom="column">
              <wp:posOffset>6350</wp:posOffset>
            </wp:positionH>
            <wp:positionV relativeFrom="paragraph">
              <wp:posOffset>1193165</wp:posOffset>
            </wp:positionV>
            <wp:extent cx="5622290" cy="2286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345" b="7939"/>
                    <a:stretch/>
                  </pic:blipFill>
                  <pic:spPr bwMode="auto">
                    <a:xfrm>
                      <a:off x="0" y="0"/>
                      <a:ext cx="562229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2B579A"/>
        </w:rPr>
        <mc:AlternateContent>
          <mc:Choice Requires="wps">
            <w:drawing>
              <wp:anchor distT="0" distB="0" distL="114300" distR="114300" simplePos="0" relativeHeight="251668480" behindDoc="0" locked="0" layoutInCell="1" allowOverlap="1" wp14:anchorId="5DA7F075" wp14:editId="50C7FBE0">
                <wp:simplePos x="0" y="0"/>
                <wp:positionH relativeFrom="column">
                  <wp:posOffset>5113020</wp:posOffset>
                </wp:positionH>
                <wp:positionV relativeFrom="paragraph">
                  <wp:posOffset>940435</wp:posOffset>
                </wp:positionV>
                <wp:extent cx="777240" cy="4419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777240" cy="441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62723" id="Rectangle 4" o:spid="_x0000_s1026" style="position:absolute;margin-left:402.6pt;margin-top:74.05pt;width:61.2pt;height:3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" fillcolor="white [3212]" strokecolor="white [3212]" strokeweight="1pt"/>
            </w:pict>
          </mc:Fallback>
        </mc:AlternateContent>
      </w:r>
      <w:r w:rsidR="006F356D" w:rsidRPr="00721FE4">
        <w:rPr>
          <w:rFonts w:asciiTheme="minorHAnsi" w:hAnsiTheme="minorHAnsi" w:cstheme="minorHAnsi"/>
          <w:noProof/>
          <w:color w:val="2B579A"/>
          <w:sz w:val="22"/>
          <w:szCs w:val="22"/>
          <w:shd w:val="clear" w:color="auto" w:fill="E6E6E6"/>
        </w:rPr>
        <mc:AlternateContent>
          <mc:Choice Requires="wps">
            <w:drawing>
              <wp:anchor distT="45720" distB="45720" distL="114300" distR="114300" simplePos="0" relativeHeight="251660288" behindDoc="0" locked="0" layoutInCell="1" allowOverlap="1" wp14:anchorId="7A466E54" wp14:editId="737ED6F5">
                <wp:simplePos x="0" y="0"/>
                <wp:positionH relativeFrom="column">
                  <wp:posOffset>4794250</wp:posOffset>
                </wp:positionH>
                <wp:positionV relativeFrom="paragraph">
                  <wp:posOffset>939165</wp:posOffset>
                </wp:positionV>
                <wp:extent cx="1783080" cy="6858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85800"/>
                        </a:xfrm>
                        <a:prstGeom prst="rect">
                          <a:avLst/>
                        </a:prstGeom>
                        <a:solidFill>
                          <a:srgbClr val="FFFFFF"/>
                        </a:solidFill>
                        <a:ln w="9525">
                          <a:noFill/>
                          <a:miter lim="800000"/>
                          <a:headEnd/>
                          <a:tailEnd/>
                        </a:ln>
                      </wps:spPr>
                      <wps:txbx>
                        <w:txbxContent>
                          <w:p w14:paraId="43613B8F" w14:textId="77777777" w:rsidR="00721FE4" w:rsidRDefault="00721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shapetype id="_x0000_t202" coordsize="21600,21600" o:spt="202" path="m,l,21600r21600,l21600,xe" w14:anchorId="7A466E54">
                <v:stroke joinstyle="miter"/>
                <v:path gradientshapeok="t" o:connecttype="rect"/>
              </v:shapetype>
              <v:shape id="Text Box 2" style="position:absolute;margin-left:377.5pt;margin-top:73.95pt;width:140.4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ikIA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">
                <v:textbox>
                  <w:txbxContent>
                    <w:p w:rsidR="00721FE4" w:rsidRDefault="00721FE4" w14:paraId="43613B8F" w14:textId="77777777"/>
                  </w:txbxContent>
                </v:textbox>
                <w10:wrap type="square"/>
              </v:shape>
            </w:pict>
          </mc:Fallback>
        </mc:AlternateContent>
      </w:r>
      <w:r w:rsidR="004A7D7B" w:rsidRPr="735221CD">
        <w:rPr>
          <w:rFonts w:asciiTheme="minorHAnsi" w:hAnsiTheme="minorHAnsi" w:cstheme="minorBidi"/>
          <w:sz w:val="22"/>
          <w:szCs w:val="22"/>
        </w:rPr>
        <w:t xml:space="preserve">The Collaborative Monitoring Risk Assessment Tool is designed to meet the requirements set forth in </w:t>
      </w:r>
      <w:r w:rsidR="73C7DBE5" w:rsidRPr="2EABC95F">
        <w:rPr>
          <w:rFonts w:asciiTheme="minorHAnsi" w:hAnsiTheme="minorHAnsi" w:cstheme="minorBidi"/>
          <w:sz w:val="22"/>
          <w:szCs w:val="22"/>
        </w:rPr>
        <w:t xml:space="preserve">    </w:t>
      </w:r>
      <w:r w:rsidR="004A7D7B" w:rsidRPr="735221CD">
        <w:rPr>
          <w:rFonts w:asciiTheme="minorHAnsi" w:hAnsiTheme="minorHAnsi" w:cstheme="minorBidi"/>
          <w:sz w:val="22"/>
          <w:szCs w:val="22"/>
        </w:rPr>
        <w:t>2 CFR § 200.331 for pass-through entities of federal grant awards.  Specifically</w:t>
      </w:r>
      <w:r w:rsidR="00721FE4" w:rsidRPr="735221CD">
        <w:rPr>
          <w:rFonts w:asciiTheme="minorHAnsi" w:hAnsiTheme="minorHAnsi" w:cstheme="minorBidi"/>
          <w:sz w:val="22"/>
          <w:szCs w:val="22"/>
        </w:rPr>
        <w:t>, the tool will be used to evaluate each Local Education</w:t>
      </w:r>
      <w:r w:rsidR="7DDF9918" w:rsidRPr="2EABC95F">
        <w:rPr>
          <w:rFonts w:asciiTheme="minorHAnsi" w:hAnsiTheme="minorHAnsi" w:cstheme="minorBidi"/>
          <w:sz w:val="22"/>
          <w:szCs w:val="22"/>
        </w:rPr>
        <w:t>al</w:t>
      </w:r>
      <w:r w:rsidR="00721FE4" w:rsidRPr="735221CD">
        <w:rPr>
          <w:rFonts w:asciiTheme="minorHAnsi" w:hAnsiTheme="minorHAnsi" w:cstheme="minorBidi"/>
          <w:sz w:val="22"/>
          <w:szCs w:val="22"/>
        </w:rPr>
        <w:t xml:space="preserve"> Agency’s (LEA’s) risk of noncompliance with Federal statutes and regulations, and the level of support the LEA will receive through monitoring activities conducted by the </w:t>
      </w:r>
      <w:r w:rsidR="550A1656" w:rsidRPr="2EABC95F">
        <w:rPr>
          <w:rFonts w:asciiTheme="minorHAnsi" w:hAnsiTheme="minorHAnsi" w:cstheme="minorBidi"/>
          <w:sz w:val="22"/>
          <w:szCs w:val="22"/>
        </w:rPr>
        <w:t>New Jersey Department of Education (NJDOE)</w:t>
      </w:r>
      <w:r w:rsidR="00721FE4" w:rsidRPr="735221CD">
        <w:rPr>
          <w:rFonts w:asciiTheme="minorHAnsi" w:hAnsiTheme="minorHAnsi" w:cstheme="minorBidi"/>
          <w:sz w:val="22"/>
          <w:szCs w:val="22"/>
        </w:rPr>
        <w:t xml:space="preserve">.  </w:t>
      </w:r>
      <w:r w:rsidR="00BA791D" w:rsidRPr="735221CD">
        <w:rPr>
          <w:rFonts w:asciiTheme="minorHAnsi" w:hAnsiTheme="minorHAnsi" w:cstheme="minorBidi"/>
          <w:sz w:val="22"/>
          <w:szCs w:val="22"/>
        </w:rPr>
        <w:t>T</w:t>
      </w:r>
      <w:r>
        <w:rPr>
          <w:rFonts w:asciiTheme="minorHAnsi" w:hAnsiTheme="minorHAnsi" w:cstheme="minorBidi"/>
          <w:sz w:val="22"/>
          <w:szCs w:val="22"/>
        </w:rPr>
        <w:t xml:space="preserve">he current process is reflected </w:t>
      </w:r>
      <w:r w:rsidR="00BA791D" w:rsidRPr="735221CD">
        <w:rPr>
          <w:rFonts w:asciiTheme="minorHAnsi" w:hAnsiTheme="minorHAnsi" w:cstheme="minorBidi"/>
          <w:sz w:val="22"/>
          <w:szCs w:val="22"/>
        </w:rPr>
        <w:t>below:</w:t>
      </w:r>
    </w:p>
    <w:p w14:paraId="21A0B8C2" w14:textId="2FE10366" w:rsidR="00060DB3" w:rsidRDefault="0097265B">
      <w:pPr>
        <w:pStyle w:val="psection-1"/>
        <w:spacing w:before="150" w:beforeAutospacing="0" w:after="150" w:afterAutospacing="0"/>
        <w:rPr>
          <w:rFonts w:asciiTheme="minorHAnsi" w:hAnsiTheme="minorHAnsi" w:cstheme="minorBidi"/>
          <w:sz w:val="22"/>
          <w:szCs w:val="22"/>
        </w:rPr>
      </w:pPr>
      <w:r w:rsidRPr="0097265B">
        <w:rPr>
          <w:rFonts w:asciiTheme="minorHAnsi" w:hAnsiTheme="minorHAnsi" w:cstheme="minorHAnsi"/>
          <w:noProof/>
          <w:color w:val="2B579A"/>
          <w:sz w:val="22"/>
          <w:szCs w:val="22"/>
          <w:shd w:val="clear" w:color="auto" w:fill="E6E6E6"/>
        </w:rPr>
        <mc:AlternateContent>
          <mc:Choice Requires="wps">
            <w:drawing>
              <wp:anchor distT="45720" distB="45720" distL="114300" distR="114300" simplePos="0" relativeHeight="251667456" behindDoc="0" locked="0" layoutInCell="1" allowOverlap="1" wp14:anchorId="5190A825" wp14:editId="61B76EAE">
                <wp:simplePos x="0" y="0"/>
                <wp:positionH relativeFrom="column">
                  <wp:posOffset>5113020</wp:posOffset>
                </wp:positionH>
                <wp:positionV relativeFrom="paragraph">
                  <wp:posOffset>64770</wp:posOffset>
                </wp:positionV>
                <wp:extent cx="1303020" cy="62484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24840"/>
                        </a:xfrm>
                        <a:prstGeom prst="rect">
                          <a:avLst/>
                        </a:prstGeom>
                        <a:solidFill>
                          <a:srgbClr val="FFFFFF"/>
                        </a:solidFill>
                        <a:ln w="9525">
                          <a:solidFill>
                            <a:schemeClr val="bg1"/>
                          </a:solidFill>
                          <a:miter lim="800000"/>
                          <a:headEnd/>
                          <a:tailEnd/>
                        </a:ln>
                      </wps:spPr>
                      <wps:txbx>
                        <w:txbxContent>
                          <w:p w14:paraId="437964C2" w14:textId="77777777" w:rsidR="0097265B" w:rsidRDefault="00972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shape id="_x0000_s1027" style="position:absolute;margin-left:402.6pt;margin-top:5.1pt;width:102.6pt;height:4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" w14:anchorId="5190A825">
                <v:textbox>
                  <w:txbxContent>
                    <w:p w:rsidR="0097265B" w:rsidRDefault="0097265B" w14:paraId="437964C2" w14:textId="77777777"/>
                  </w:txbxContent>
                </v:textbox>
                <w10:wrap type="square"/>
              </v:shape>
            </w:pict>
          </mc:Fallback>
        </mc:AlternateContent>
      </w:r>
      <w:r w:rsidR="00BA791D" w:rsidRPr="735221CD">
        <w:rPr>
          <w:rFonts w:asciiTheme="minorHAnsi" w:hAnsiTheme="minorHAnsi" w:cstheme="minorBidi"/>
          <w:sz w:val="22"/>
          <w:szCs w:val="22"/>
        </w:rPr>
        <w:t>For the 20</w:t>
      </w:r>
      <w:r w:rsidR="3B0F5BB4" w:rsidRPr="735221CD">
        <w:rPr>
          <w:rFonts w:asciiTheme="minorHAnsi" w:hAnsiTheme="minorHAnsi" w:cstheme="minorBidi"/>
          <w:sz w:val="22"/>
          <w:szCs w:val="22"/>
        </w:rPr>
        <w:t>20</w:t>
      </w:r>
      <w:r w:rsidR="00BA791D" w:rsidRPr="735221CD">
        <w:rPr>
          <w:rFonts w:asciiTheme="minorHAnsi" w:hAnsiTheme="minorHAnsi" w:cstheme="minorBidi"/>
          <w:sz w:val="22"/>
          <w:szCs w:val="22"/>
        </w:rPr>
        <w:t>-202</w:t>
      </w:r>
      <w:r w:rsidR="3C40929A" w:rsidRPr="735221CD">
        <w:rPr>
          <w:rFonts w:asciiTheme="minorHAnsi" w:hAnsiTheme="minorHAnsi" w:cstheme="minorBidi"/>
          <w:sz w:val="22"/>
          <w:szCs w:val="22"/>
        </w:rPr>
        <w:t>1</w:t>
      </w:r>
      <w:r w:rsidR="00BA791D" w:rsidRPr="735221CD">
        <w:rPr>
          <w:rFonts w:asciiTheme="minorHAnsi" w:hAnsiTheme="minorHAnsi" w:cstheme="minorBidi"/>
          <w:sz w:val="22"/>
          <w:szCs w:val="22"/>
        </w:rPr>
        <w:t>monitoring cycle</w:t>
      </w:r>
      <w:r w:rsidR="00015F74" w:rsidRPr="735221CD">
        <w:rPr>
          <w:rFonts w:asciiTheme="minorHAnsi" w:hAnsiTheme="minorHAnsi" w:cstheme="minorBidi"/>
          <w:sz w:val="22"/>
          <w:szCs w:val="22"/>
        </w:rPr>
        <w:t>,</w:t>
      </w:r>
      <w:r w:rsidR="00BA791D" w:rsidRPr="735221CD">
        <w:rPr>
          <w:rFonts w:asciiTheme="minorHAnsi" w:hAnsiTheme="minorHAnsi" w:cstheme="minorBidi"/>
          <w:sz w:val="22"/>
          <w:szCs w:val="22"/>
        </w:rPr>
        <w:t xml:space="preserve"> each LEA will receive a fiscal score</w:t>
      </w:r>
      <w:r w:rsidR="62636BDB" w:rsidRPr="63CC2739">
        <w:rPr>
          <w:rFonts w:asciiTheme="minorHAnsi" w:hAnsiTheme="minorHAnsi" w:cstheme="minorBidi"/>
          <w:sz w:val="22"/>
          <w:szCs w:val="22"/>
        </w:rPr>
        <w:t>,</w:t>
      </w:r>
      <w:r w:rsidR="00BA791D" w:rsidRPr="735221CD">
        <w:rPr>
          <w:rFonts w:asciiTheme="minorHAnsi" w:hAnsiTheme="minorHAnsi" w:cstheme="minorBidi"/>
          <w:sz w:val="22"/>
          <w:szCs w:val="22"/>
        </w:rPr>
        <w:t xml:space="preserve"> which will determine the level of risk and the subsequent </w:t>
      </w:r>
      <w:r w:rsidR="6D36A9B8" w:rsidRPr="63CC2739">
        <w:rPr>
          <w:rFonts w:asciiTheme="minorHAnsi" w:hAnsiTheme="minorHAnsi" w:cstheme="minorBidi"/>
          <w:sz w:val="22"/>
          <w:szCs w:val="22"/>
        </w:rPr>
        <w:t xml:space="preserve">NJDOE </w:t>
      </w:r>
      <w:r w:rsidR="00BA791D" w:rsidRPr="735221CD">
        <w:rPr>
          <w:rFonts w:asciiTheme="minorHAnsi" w:hAnsiTheme="minorHAnsi" w:cstheme="minorBidi"/>
          <w:sz w:val="22"/>
          <w:szCs w:val="22"/>
        </w:rPr>
        <w:t xml:space="preserve">response.  </w:t>
      </w:r>
      <w:r w:rsidR="00060DB3" w:rsidRPr="735221CD">
        <w:rPr>
          <w:rFonts w:asciiTheme="minorHAnsi" w:hAnsiTheme="minorHAnsi" w:cstheme="minorBidi"/>
          <w:sz w:val="22"/>
          <w:szCs w:val="22"/>
        </w:rPr>
        <w:t xml:space="preserve">Support to be provided is as follows: Intensive </w:t>
      </w:r>
      <w:r w:rsidR="00015F74" w:rsidRPr="735221CD">
        <w:rPr>
          <w:rFonts w:asciiTheme="minorHAnsi" w:hAnsiTheme="minorHAnsi" w:cstheme="minorBidi"/>
          <w:sz w:val="22"/>
          <w:szCs w:val="22"/>
        </w:rPr>
        <w:t>S</w:t>
      </w:r>
      <w:r w:rsidR="00060DB3" w:rsidRPr="735221CD">
        <w:rPr>
          <w:rFonts w:asciiTheme="minorHAnsi" w:hAnsiTheme="minorHAnsi" w:cstheme="minorBidi"/>
          <w:sz w:val="22"/>
          <w:szCs w:val="22"/>
        </w:rPr>
        <w:t xml:space="preserve">upport – on-site collaborative monitoring; Targeted </w:t>
      </w:r>
      <w:r w:rsidR="00015F74" w:rsidRPr="735221CD">
        <w:rPr>
          <w:rFonts w:asciiTheme="minorHAnsi" w:hAnsiTheme="minorHAnsi" w:cstheme="minorBidi"/>
          <w:sz w:val="22"/>
          <w:szCs w:val="22"/>
        </w:rPr>
        <w:t>S</w:t>
      </w:r>
      <w:r w:rsidR="00060DB3" w:rsidRPr="735221CD">
        <w:rPr>
          <w:rFonts w:asciiTheme="minorHAnsi" w:hAnsiTheme="minorHAnsi" w:cstheme="minorBidi"/>
          <w:sz w:val="22"/>
          <w:szCs w:val="22"/>
        </w:rPr>
        <w:t xml:space="preserve">upport – desk monitoring; Universal </w:t>
      </w:r>
      <w:r w:rsidR="00015F74" w:rsidRPr="735221CD">
        <w:rPr>
          <w:rFonts w:asciiTheme="minorHAnsi" w:hAnsiTheme="minorHAnsi" w:cstheme="minorBidi"/>
          <w:sz w:val="22"/>
          <w:szCs w:val="22"/>
        </w:rPr>
        <w:t>S</w:t>
      </w:r>
      <w:r w:rsidR="00060DB3" w:rsidRPr="735221CD">
        <w:rPr>
          <w:rFonts w:asciiTheme="minorHAnsi" w:hAnsiTheme="minorHAnsi" w:cstheme="minorBidi"/>
          <w:sz w:val="22"/>
          <w:szCs w:val="22"/>
        </w:rPr>
        <w:t>upport – standard support offered to all districts.</w:t>
      </w:r>
    </w:p>
    <w:p w14:paraId="137F32B1" w14:textId="576898BE" w:rsidR="00610CCF" w:rsidRDefault="00BA791D" w:rsidP="735221CD">
      <w:pPr>
        <w:pStyle w:val="psection-1"/>
        <w:shd w:val="clear" w:color="auto" w:fill="FFFFFF" w:themeFill="background1"/>
        <w:spacing w:before="150" w:beforeAutospacing="0" w:after="150" w:afterAutospacing="0"/>
        <w:rPr>
          <w:rFonts w:asciiTheme="minorHAnsi" w:hAnsiTheme="minorHAnsi" w:cstheme="minorBidi"/>
          <w:sz w:val="22"/>
          <w:szCs w:val="22"/>
        </w:rPr>
      </w:pPr>
      <w:r w:rsidRPr="63CC2739">
        <w:rPr>
          <w:rFonts w:asciiTheme="minorHAnsi" w:hAnsiTheme="minorHAnsi" w:cstheme="minorBidi"/>
          <w:sz w:val="22"/>
          <w:szCs w:val="22"/>
        </w:rPr>
        <w:t>Over the 20</w:t>
      </w:r>
      <w:r w:rsidR="1F6AB4AD" w:rsidRPr="63CC2739">
        <w:rPr>
          <w:rFonts w:asciiTheme="minorHAnsi" w:hAnsiTheme="minorHAnsi" w:cstheme="minorBidi"/>
          <w:sz w:val="22"/>
          <w:szCs w:val="22"/>
        </w:rPr>
        <w:t>20</w:t>
      </w:r>
      <w:r w:rsidRPr="63CC2739">
        <w:rPr>
          <w:rFonts w:asciiTheme="minorHAnsi" w:hAnsiTheme="minorHAnsi" w:cstheme="minorBidi"/>
          <w:sz w:val="22"/>
          <w:szCs w:val="22"/>
        </w:rPr>
        <w:t>–202</w:t>
      </w:r>
      <w:r w:rsidR="4153736C" w:rsidRPr="63CC2739">
        <w:rPr>
          <w:rFonts w:asciiTheme="minorHAnsi" w:hAnsiTheme="minorHAnsi" w:cstheme="minorBidi"/>
          <w:sz w:val="22"/>
          <w:szCs w:val="22"/>
        </w:rPr>
        <w:t>1</w:t>
      </w:r>
      <w:r w:rsidRPr="63CC2739">
        <w:rPr>
          <w:rFonts w:asciiTheme="minorHAnsi" w:hAnsiTheme="minorHAnsi" w:cstheme="minorBidi"/>
          <w:sz w:val="22"/>
          <w:szCs w:val="22"/>
        </w:rPr>
        <w:t xml:space="preserve"> monitoring cycle, each program office will develop a program</w:t>
      </w:r>
      <w:r w:rsidR="00CA74FA">
        <w:rPr>
          <w:rFonts w:asciiTheme="minorHAnsi" w:hAnsiTheme="minorHAnsi" w:cstheme="minorBidi"/>
          <w:sz w:val="22"/>
          <w:szCs w:val="22"/>
        </w:rPr>
        <w:t xml:space="preserve"> </w:t>
      </w:r>
      <w:r w:rsidRPr="63CC2739">
        <w:rPr>
          <w:rFonts w:asciiTheme="minorHAnsi" w:hAnsiTheme="minorHAnsi" w:cstheme="minorBidi"/>
          <w:sz w:val="22"/>
          <w:szCs w:val="22"/>
        </w:rPr>
        <w:t>risk assessment</w:t>
      </w:r>
      <w:r w:rsidR="002321B3" w:rsidRPr="63CC2739">
        <w:rPr>
          <w:rFonts w:asciiTheme="minorHAnsi" w:hAnsiTheme="minorHAnsi" w:cstheme="minorBidi"/>
          <w:sz w:val="22"/>
          <w:szCs w:val="22"/>
        </w:rPr>
        <w:t xml:space="preserve"> tool</w:t>
      </w:r>
      <w:r w:rsidR="14E53FE8" w:rsidRPr="63CC2739">
        <w:rPr>
          <w:rFonts w:asciiTheme="minorHAnsi" w:hAnsiTheme="minorHAnsi" w:cstheme="minorBidi"/>
          <w:sz w:val="22"/>
          <w:szCs w:val="22"/>
        </w:rPr>
        <w:t xml:space="preserve">, which will be </w:t>
      </w:r>
      <w:r w:rsidRPr="63CC2739">
        <w:rPr>
          <w:rFonts w:asciiTheme="minorHAnsi" w:hAnsiTheme="minorHAnsi" w:cstheme="minorBidi"/>
          <w:sz w:val="22"/>
          <w:szCs w:val="22"/>
        </w:rPr>
        <w:t xml:space="preserve">combined with the fiscal score to provide one risk score.  </w:t>
      </w:r>
    </w:p>
    <w:p w14:paraId="11E3DF82" w14:textId="0CB0072A" w:rsidR="005240EC" w:rsidRDefault="00BA791D" w:rsidP="7BD66604">
      <w:pPr>
        <w:pStyle w:val="psection-1"/>
        <w:shd w:val="clear" w:color="auto" w:fill="FFFFFF" w:themeFill="background1"/>
        <w:spacing w:before="150" w:beforeAutospacing="0" w:after="150" w:afterAutospacing="0"/>
        <w:rPr>
          <w:b/>
          <w:bCs/>
        </w:rPr>
      </w:pPr>
      <w:r w:rsidRPr="735221CD">
        <w:rPr>
          <w:rFonts w:asciiTheme="minorHAnsi" w:hAnsiTheme="minorHAnsi" w:cstheme="minorBidi"/>
          <w:sz w:val="22"/>
          <w:szCs w:val="22"/>
        </w:rPr>
        <w:t>The graphic below illustrates the proposed process:</w:t>
      </w:r>
      <w:r w:rsidR="00610CCF">
        <w:rPr>
          <w:noProof/>
          <w:color w:val="2B579A"/>
          <w:shd w:val="clear" w:color="auto" w:fill="E6E6E6"/>
        </w:rPr>
        <w:drawing>
          <wp:anchor distT="0" distB="0" distL="114300" distR="114300" simplePos="0" relativeHeight="251658240" behindDoc="1" locked="0" layoutInCell="1" allowOverlap="1" wp14:anchorId="5970E8F1" wp14:editId="0240E22C">
            <wp:simplePos x="0" y="0"/>
            <wp:positionH relativeFrom="column">
              <wp:posOffset>6350</wp:posOffset>
            </wp:positionH>
            <wp:positionV relativeFrom="paragraph">
              <wp:posOffset>305738</wp:posOffset>
            </wp:positionV>
            <wp:extent cx="5588000" cy="2286000"/>
            <wp:effectExtent l="0" t="0" r="0" b="0"/>
            <wp:wrapTight wrapText="bothSides">
              <wp:wrapPolygon edited="0">
                <wp:start x="0" y="0"/>
                <wp:lineTo x="0" y="21420"/>
                <wp:lineTo x="21281" y="21420"/>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98" t="1705" r="-1997" b="-146"/>
                    <a:stretch/>
                  </pic:blipFill>
                  <pic:spPr bwMode="auto">
                    <a:xfrm>
                      <a:off x="0" y="0"/>
                      <a:ext cx="558800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91D">
        <w:rPr>
          <w:rFonts w:asciiTheme="minorHAnsi" w:hAnsiTheme="minorHAnsi" w:cstheme="minorHAnsi"/>
          <w:noProof/>
          <w:color w:val="2B579A"/>
          <w:sz w:val="22"/>
          <w:szCs w:val="22"/>
          <w:shd w:val="clear" w:color="auto" w:fill="E6E6E6"/>
        </w:rPr>
        <mc:AlternateContent>
          <mc:Choice Requires="wps">
            <w:drawing>
              <wp:anchor distT="45720" distB="45720" distL="114300" distR="114300" simplePos="0" relativeHeight="251663360" behindDoc="1" locked="0" layoutInCell="1" allowOverlap="1" wp14:anchorId="0BC74013" wp14:editId="7A541644">
                <wp:simplePos x="0" y="0"/>
                <wp:positionH relativeFrom="column">
                  <wp:posOffset>5113020</wp:posOffset>
                </wp:positionH>
                <wp:positionV relativeFrom="paragraph">
                  <wp:posOffset>270510</wp:posOffset>
                </wp:positionV>
                <wp:extent cx="1181100" cy="462280"/>
                <wp:effectExtent l="0" t="0" r="19050" b="13970"/>
                <wp:wrapTight wrapText="bothSides">
                  <wp:wrapPolygon edited="0">
                    <wp:start x="0" y="0"/>
                    <wp:lineTo x="0" y="21363"/>
                    <wp:lineTo x="21600" y="2136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2280"/>
                        </a:xfrm>
                        <a:prstGeom prst="rect">
                          <a:avLst/>
                        </a:prstGeom>
                        <a:solidFill>
                          <a:srgbClr val="FFFFFF"/>
                        </a:solidFill>
                        <a:ln w="9525">
                          <a:solidFill>
                            <a:schemeClr val="bg1"/>
                          </a:solidFill>
                          <a:miter lim="800000"/>
                          <a:headEnd/>
                          <a:tailEnd/>
                        </a:ln>
                      </wps:spPr>
                      <wps:txbx>
                        <w:txbxContent>
                          <w:p w14:paraId="6A1A1717" w14:textId="77777777" w:rsidR="00BA791D" w:rsidRDefault="00BA7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shape id="_x0000_s1028" style="position:absolute;margin-left:402.6pt;margin-top:21.3pt;width:93pt;height:36.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" w14:anchorId="0BC74013">
                <v:textbox>
                  <w:txbxContent>
                    <w:p w:rsidR="00BA791D" w:rsidRDefault="00BA791D" w14:paraId="6A1A1717" w14:textId="77777777"/>
                  </w:txbxContent>
                </v:textbox>
                <w10:wrap type="tight"/>
              </v:shape>
            </w:pict>
          </mc:Fallback>
        </mc:AlternateContent>
      </w:r>
      <w:r w:rsidR="005240EC" w:rsidRPr="735221CD">
        <w:rPr>
          <w:b/>
          <w:bCs/>
        </w:rPr>
        <w:br w:type="page"/>
      </w:r>
    </w:p>
    <w:p w14:paraId="703F35C3" w14:textId="183DB20A" w:rsidR="00456533" w:rsidRPr="00721FE4" w:rsidRDefault="00456533" w:rsidP="00456533">
      <w:pPr>
        <w:spacing w:after="0" w:line="240" w:lineRule="auto"/>
        <w:jc w:val="center"/>
        <w:rPr>
          <w:b/>
          <w:sz w:val="24"/>
        </w:rPr>
      </w:pPr>
      <w:r w:rsidRPr="00721FE4">
        <w:rPr>
          <w:b/>
          <w:sz w:val="24"/>
        </w:rPr>
        <w:lastRenderedPageBreak/>
        <w:t>New Jersey Department of Education</w:t>
      </w:r>
    </w:p>
    <w:p w14:paraId="43FE7E3D" w14:textId="77777777" w:rsidR="00456533" w:rsidRPr="00721FE4" w:rsidRDefault="00456533" w:rsidP="00456533">
      <w:pPr>
        <w:spacing w:after="0" w:line="240" w:lineRule="auto"/>
        <w:jc w:val="center"/>
        <w:rPr>
          <w:b/>
          <w:sz w:val="24"/>
        </w:rPr>
      </w:pPr>
      <w:r w:rsidRPr="00721FE4">
        <w:rPr>
          <w:b/>
          <w:sz w:val="24"/>
        </w:rPr>
        <w:t>Collaborative Monitoring Risk Assessment Tool</w:t>
      </w:r>
    </w:p>
    <w:p w14:paraId="74F16B81" w14:textId="5E007B99" w:rsidR="006F356D" w:rsidRPr="00FF4264" w:rsidRDefault="006F356D" w:rsidP="008B5410">
      <w:pPr>
        <w:pStyle w:val="psection-1"/>
        <w:shd w:val="clear" w:color="auto" w:fill="FFFFFF"/>
        <w:spacing w:before="150" w:beforeAutospacing="0" w:after="150" w:afterAutospacing="0"/>
        <w:jc w:val="center"/>
        <w:rPr>
          <w:rFonts w:asciiTheme="minorHAnsi" w:hAnsiTheme="minorHAnsi" w:cstheme="minorHAnsi"/>
          <w:b/>
          <w:szCs w:val="22"/>
        </w:rPr>
      </w:pPr>
      <w:r w:rsidRPr="00FF4264">
        <w:rPr>
          <w:rFonts w:asciiTheme="minorHAnsi" w:hAnsiTheme="minorHAnsi" w:cstheme="minorHAnsi"/>
          <w:b/>
          <w:szCs w:val="22"/>
        </w:rPr>
        <w:t>Risk Indicators</w:t>
      </w:r>
    </w:p>
    <w:tbl>
      <w:tblPr>
        <w:tblStyle w:val="TableGrid"/>
        <w:tblW w:w="0" w:type="auto"/>
        <w:tblLook w:val="04A0" w:firstRow="1" w:lastRow="0" w:firstColumn="1" w:lastColumn="0" w:noHBand="0" w:noVBand="1"/>
      </w:tblPr>
      <w:tblGrid>
        <w:gridCol w:w="7020"/>
        <w:gridCol w:w="1018"/>
        <w:gridCol w:w="1312"/>
      </w:tblGrid>
      <w:tr w:rsidR="00EC2EF6" w14:paraId="28D702C7" w14:textId="77777777" w:rsidTr="009375FB">
        <w:tc>
          <w:tcPr>
            <w:tcW w:w="9350" w:type="dxa"/>
            <w:gridSpan w:val="3"/>
            <w:tcBorders>
              <w:top w:val="single" w:sz="4" w:space="0" w:color="auto"/>
            </w:tcBorders>
            <w:shd w:val="clear" w:color="auto" w:fill="DEEAF6" w:themeFill="accent1" w:themeFillTint="33"/>
          </w:tcPr>
          <w:p w14:paraId="126431CB" w14:textId="71E089D2" w:rsidR="00EC2EF6" w:rsidRPr="00C121A3" w:rsidRDefault="00EC2EF6" w:rsidP="00C121A3">
            <w:pPr>
              <w:pStyle w:val="psection-1"/>
              <w:spacing w:before="0" w:beforeAutospacing="0" w:after="0" w:afterAutospacing="0"/>
              <w:jc w:val="center"/>
              <w:rPr>
                <w:rFonts w:asciiTheme="minorHAnsi" w:hAnsiTheme="minorHAnsi" w:cstheme="minorHAnsi"/>
                <w:b/>
                <w:sz w:val="22"/>
                <w:szCs w:val="22"/>
              </w:rPr>
            </w:pPr>
            <w:r w:rsidRPr="00C121A3">
              <w:rPr>
                <w:rFonts w:asciiTheme="minorHAnsi" w:hAnsiTheme="minorHAnsi" w:cstheme="minorHAnsi"/>
                <w:b/>
                <w:szCs w:val="22"/>
              </w:rPr>
              <w:t>Indicator Variables</w:t>
            </w:r>
            <w:r>
              <w:rPr>
                <w:rStyle w:val="FootnoteReference"/>
                <w:rFonts w:asciiTheme="minorHAnsi" w:hAnsiTheme="minorHAnsi" w:cstheme="minorHAnsi"/>
                <w:b/>
                <w:szCs w:val="22"/>
              </w:rPr>
              <w:footnoteReference w:id="1"/>
            </w:r>
          </w:p>
        </w:tc>
      </w:tr>
      <w:tr w:rsidR="004A38DC" w14:paraId="0B6BA63A" w14:textId="77777777" w:rsidTr="00080BF2">
        <w:tc>
          <w:tcPr>
            <w:tcW w:w="9350" w:type="dxa"/>
            <w:gridSpan w:val="3"/>
            <w:tcBorders>
              <w:bottom w:val="nil"/>
            </w:tcBorders>
          </w:tcPr>
          <w:p w14:paraId="55FAF7A1" w14:textId="18F0C4BC" w:rsidR="004A38DC" w:rsidRPr="00E5604F" w:rsidRDefault="004A38DC" w:rsidP="00192711">
            <w:pPr>
              <w:pStyle w:val="psection-1"/>
              <w:numPr>
                <w:ilvl w:val="0"/>
                <w:numId w:val="3"/>
              </w:numPr>
              <w:spacing w:before="0" w:beforeAutospacing="0" w:after="0" w:afterAutospacing="0"/>
              <w:rPr>
                <w:rFonts w:asciiTheme="minorHAnsi" w:hAnsiTheme="minorHAnsi" w:cstheme="minorHAnsi"/>
                <w:b/>
                <w:szCs w:val="22"/>
              </w:rPr>
            </w:pPr>
            <w:r>
              <w:rPr>
                <w:rFonts w:asciiTheme="minorHAnsi" w:hAnsiTheme="minorHAnsi" w:cstheme="minorHAnsi"/>
                <w:b/>
                <w:szCs w:val="22"/>
              </w:rPr>
              <w:t>Proficiency Rate for Federal Accountability for ELA</w:t>
            </w:r>
          </w:p>
          <w:p w14:paraId="17FAAF69" w14:textId="77777777" w:rsidR="004A38DC" w:rsidRDefault="004A38DC" w:rsidP="007055BF">
            <w:pPr>
              <w:pStyle w:val="psection-1"/>
              <w:spacing w:before="0" w:beforeAutospacing="0" w:after="0" w:afterAutospacing="0"/>
              <w:rPr>
                <w:rFonts w:asciiTheme="minorHAnsi" w:hAnsiTheme="minorHAnsi" w:cstheme="minorHAnsi"/>
                <w:sz w:val="22"/>
                <w:szCs w:val="22"/>
              </w:rPr>
            </w:pPr>
          </w:p>
          <w:p w14:paraId="277D4277" w14:textId="73278FE2" w:rsidR="004A38DC" w:rsidRDefault="004A38DC"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Data Source:  Performance Reports</w:t>
            </w:r>
          </w:p>
        </w:tc>
      </w:tr>
      <w:tr w:rsidR="00080BF2" w14:paraId="33366F4B" w14:textId="77777777" w:rsidTr="00080BF2">
        <w:tc>
          <w:tcPr>
            <w:tcW w:w="7020" w:type="dxa"/>
            <w:tcBorders>
              <w:top w:val="nil"/>
            </w:tcBorders>
          </w:tcPr>
          <w:p w14:paraId="6DA9E0DC" w14:textId="77777777" w:rsidR="00080BF2" w:rsidRDefault="00080BF2" w:rsidP="00C010DD">
            <w:pPr>
              <w:pStyle w:val="psection-1"/>
              <w:spacing w:before="0" w:beforeAutospacing="0" w:after="0" w:afterAutospacing="0"/>
              <w:rPr>
                <w:rFonts w:asciiTheme="minorHAnsi" w:hAnsiTheme="minorHAnsi" w:cstheme="minorHAnsi"/>
                <w:sz w:val="22"/>
                <w:szCs w:val="22"/>
              </w:rPr>
            </w:pPr>
          </w:p>
        </w:tc>
        <w:tc>
          <w:tcPr>
            <w:tcW w:w="1018" w:type="dxa"/>
            <w:shd w:val="clear" w:color="auto" w:fill="DEEAF6" w:themeFill="accent1" w:themeFillTint="33"/>
          </w:tcPr>
          <w:p w14:paraId="292437D6" w14:textId="71AFFDFD" w:rsidR="00080BF2" w:rsidRDefault="00080BF2"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6D7EC41D" w14:textId="442FE852"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4A38DC" w14:paraId="5FDFB13F" w14:textId="77777777" w:rsidTr="00080BF2">
        <w:tc>
          <w:tcPr>
            <w:tcW w:w="7020" w:type="dxa"/>
          </w:tcPr>
          <w:p w14:paraId="3BD4AE20" w14:textId="56FEC5E0" w:rsidR="004A38DC" w:rsidRDefault="004A38DC" w:rsidP="00C010D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met the target or the goal for the proficiency rate</w:t>
            </w:r>
          </w:p>
        </w:tc>
        <w:tc>
          <w:tcPr>
            <w:tcW w:w="1018" w:type="dxa"/>
            <w:shd w:val="clear" w:color="auto" w:fill="auto"/>
          </w:tcPr>
          <w:p w14:paraId="355305F6" w14:textId="22A7E06A" w:rsidR="004A38DC" w:rsidRDefault="004A38DC"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6928DE29" w14:textId="701D765F" w:rsidR="004A38DC" w:rsidRDefault="004A38DC"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4A38DC" w14:paraId="298DEFAE" w14:textId="77777777" w:rsidTr="00080BF2">
        <w:tc>
          <w:tcPr>
            <w:tcW w:w="7020" w:type="dxa"/>
          </w:tcPr>
          <w:p w14:paraId="60B02A2D" w14:textId="66F2C99C" w:rsidR="004A38DC" w:rsidRDefault="004A38DC" w:rsidP="00C010D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met the target or the goal within one standard deviation</w:t>
            </w:r>
          </w:p>
        </w:tc>
        <w:tc>
          <w:tcPr>
            <w:tcW w:w="1018" w:type="dxa"/>
            <w:shd w:val="clear" w:color="auto" w:fill="auto"/>
          </w:tcPr>
          <w:p w14:paraId="3E2BCD96" w14:textId="1D58FB75" w:rsidR="004A38DC" w:rsidRDefault="004A38DC"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614EDD55" w14:textId="5F7B8FA7" w:rsidR="004A38DC" w:rsidRDefault="008B115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r w:rsidR="004A38DC">
              <w:rPr>
                <w:rFonts w:asciiTheme="minorHAnsi" w:hAnsiTheme="minorHAnsi" w:cstheme="minorHAnsi"/>
                <w:sz w:val="22"/>
                <w:szCs w:val="22"/>
              </w:rPr>
              <w:t>5 points</w:t>
            </w:r>
          </w:p>
        </w:tc>
      </w:tr>
      <w:tr w:rsidR="004A38DC" w14:paraId="2BFAA523" w14:textId="77777777" w:rsidTr="00080BF2">
        <w:tc>
          <w:tcPr>
            <w:tcW w:w="7020" w:type="dxa"/>
          </w:tcPr>
          <w:p w14:paraId="239F9C60" w14:textId="2C0000ED" w:rsidR="004A38DC" w:rsidRDefault="004A38DC" w:rsidP="00C010D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did not meet the target or the goal for the proficiency rate</w:t>
            </w:r>
          </w:p>
        </w:tc>
        <w:tc>
          <w:tcPr>
            <w:tcW w:w="1018" w:type="dxa"/>
            <w:shd w:val="clear" w:color="auto" w:fill="auto"/>
          </w:tcPr>
          <w:p w14:paraId="4DDC564B" w14:textId="79B36CC6" w:rsidR="004A38DC" w:rsidRDefault="004A38DC"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3D3EC439" w14:textId="7A060FC6" w:rsidR="004A38DC" w:rsidRDefault="008B115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w:t>
            </w:r>
            <w:r w:rsidR="004A38DC">
              <w:rPr>
                <w:rFonts w:asciiTheme="minorHAnsi" w:hAnsiTheme="minorHAnsi" w:cstheme="minorHAnsi"/>
                <w:sz w:val="22"/>
                <w:szCs w:val="22"/>
              </w:rPr>
              <w:t xml:space="preserve"> points</w:t>
            </w:r>
          </w:p>
        </w:tc>
      </w:tr>
      <w:tr w:rsidR="00EC2EF6" w14:paraId="4ADF2C6D" w14:textId="77777777" w:rsidTr="009B6782">
        <w:tc>
          <w:tcPr>
            <w:tcW w:w="9350" w:type="dxa"/>
            <w:gridSpan w:val="3"/>
            <w:shd w:val="clear" w:color="auto" w:fill="2E74B5" w:themeFill="accent1" w:themeFillShade="BF"/>
          </w:tcPr>
          <w:p w14:paraId="499DEECE" w14:textId="18E75E14" w:rsidR="00EC2EF6" w:rsidRDefault="00EC2EF6" w:rsidP="007055BF">
            <w:pPr>
              <w:pStyle w:val="psection-1"/>
              <w:spacing w:before="0" w:beforeAutospacing="0" w:after="0" w:afterAutospacing="0"/>
              <w:rPr>
                <w:rFonts w:asciiTheme="minorHAnsi" w:hAnsiTheme="minorHAnsi" w:cstheme="minorHAnsi"/>
                <w:sz w:val="22"/>
                <w:szCs w:val="22"/>
              </w:rPr>
            </w:pPr>
          </w:p>
        </w:tc>
      </w:tr>
      <w:tr w:rsidR="004A38DC" w14:paraId="71DA7508" w14:textId="77777777" w:rsidTr="00080BF2">
        <w:tc>
          <w:tcPr>
            <w:tcW w:w="9350" w:type="dxa"/>
            <w:gridSpan w:val="3"/>
            <w:tcBorders>
              <w:bottom w:val="nil"/>
            </w:tcBorders>
          </w:tcPr>
          <w:p w14:paraId="3C8EB4D8" w14:textId="47B33C07" w:rsidR="004A38DC" w:rsidRPr="00E5604F" w:rsidRDefault="004A38DC" w:rsidP="00192711">
            <w:pPr>
              <w:pStyle w:val="psection-1"/>
              <w:numPr>
                <w:ilvl w:val="0"/>
                <w:numId w:val="3"/>
              </w:numPr>
              <w:spacing w:before="0" w:beforeAutospacing="0" w:after="0" w:afterAutospacing="0"/>
              <w:rPr>
                <w:rFonts w:asciiTheme="minorHAnsi" w:hAnsiTheme="minorHAnsi" w:cstheme="minorHAnsi"/>
                <w:b/>
                <w:szCs w:val="22"/>
              </w:rPr>
            </w:pPr>
            <w:r>
              <w:rPr>
                <w:rFonts w:asciiTheme="minorHAnsi" w:hAnsiTheme="minorHAnsi" w:cstheme="minorHAnsi"/>
                <w:b/>
                <w:szCs w:val="22"/>
              </w:rPr>
              <w:t>Proficiency Rate for Federal Accountability for Math</w:t>
            </w:r>
          </w:p>
          <w:p w14:paraId="49BCA992" w14:textId="77777777" w:rsidR="004A38DC" w:rsidRDefault="004A38DC" w:rsidP="007055BF">
            <w:pPr>
              <w:pStyle w:val="psection-1"/>
              <w:spacing w:before="0" w:beforeAutospacing="0" w:after="0" w:afterAutospacing="0"/>
              <w:rPr>
                <w:rFonts w:asciiTheme="minorHAnsi" w:hAnsiTheme="minorHAnsi" w:cstheme="minorHAnsi"/>
                <w:sz w:val="22"/>
                <w:szCs w:val="22"/>
              </w:rPr>
            </w:pPr>
          </w:p>
          <w:p w14:paraId="62F1D08C" w14:textId="7DC46A1B" w:rsidR="004A38DC" w:rsidRDefault="004A38DC"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Data Source:  Performance Reports</w:t>
            </w:r>
          </w:p>
        </w:tc>
      </w:tr>
      <w:tr w:rsidR="00080BF2" w14:paraId="4605B2B7" w14:textId="77777777" w:rsidTr="00080BF2">
        <w:tc>
          <w:tcPr>
            <w:tcW w:w="7020" w:type="dxa"/>
            <w:tcBorders>
              <w:top w:val="nil"/>
            </w:tcBorders>
          </w:tcPr>
          <w:p w14:paraId="07021F2E" w14:textId="77777777" w:rsidR="00080BF2" w:rsidRDefault="00080BF2" w:rsidP="004A38DC">
            <w:pPr>
              <w:pStyle w:val="psection-1"/>
              <w:spacing w:before="0" w:beforeAutospacing="0" w:after="0" w:afterAutospacing="0"/>
              <w:rPr>
                <w:rFonts w:asciiTheme="minorHAnsi" w:hAnsiTheme="minorHAnsi" w:cstheme="minorHAnsi"/>
                <w:sz w:val="22"/>
                <w:szCs w:val="22"/>
              </w:rPr>
            </w:pPr>
          </w:p>
        </w:tc>
        <w:tc>
          <w:tcPr>
            <w:tcW w:w="1018" w:type="dxa"/>
            <w:shd w:val="clear" w:color="auto" w:fill="DEEAF6" w:themeFill="accent1" w:themeFillTint="33"/>
          </w:tcPr>
          <w:p w14:paraId="7772DE8E" w14:textId="50406267" w:rsidR="00080BF2" w:rsidRDefault="00080BF2"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0CD0EC4B" w14:textId="1E231C03"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8B115E" w14:paraId="44F64028" w14:textId="77777777" w:rsidTr="00080BF2">
        <w:tc>
          <w:tcPr>
            <w:tcW w:w="7020" w:type="dxa"/>
          </w:tcPr>
          <w:p w14:paraId="1B75A999" w14:textId="77777777"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met the target or the goal for the proficiency rate</w:t>
            </w:r>
          </w:p>
        </w:tc>
        <w:tc>
          <w:tcPr>
            <w:tcW w:w="1018" w:type="dxa"/>
            <w:shd w:val="clear" w:color="auto" w:fill="FFFFFF" w:themeFill="background1"/>
          </w:tcPr>
          <w:p w14:paraId="172BA90A" w14:textId="64C4EA27"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0BF80576" w14:textId="70C0677F"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8B115E" w14:paraId="2C9A8EFE" w14:textId="77777777" w:rsidTr="00080BF2">
        <w:tc>
          <w:tcPr>
            <w:tcW w:w="7020" w:type="dxa"/>
          </w:tcPr>
          <w:p w14:paraId="36081287" w14:textId="77777777"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met the target or the goal within one standard deviation</w:t>
            </w:r>
          </w:p>
        </w:tc>
        <w:tc>
          <w:tcPr>
            <w:tcW w:w="1018" w:type="dxa"/>
            <w:shd w:val="clear" w:color="auto" w:fill="FFFFFF" w:themeFill="background1"/>
          </w:tcPr>
          <w:p w14:paraId="0F25D85B" w14:textId="7157C876"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6EBB9045" w14:textId="20D25BE8"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2.5 points</w:t>
            </w:r>
          </w:p>
        </w:tc>
      </w:tr>
      <w:tr w:rsidR="008B115E" w14:paraId="63705024" w14:textId="77777777" w:rsidTr="00080BF2">
        <w:tc>
          <w:tcPr>
            <w:tcW w:w="7020" w:type="dxa"/>
          </w:tcPr>
          <w:p w14:paraId="406C7DB7" w14:textId="77777777"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did not meet the target or the goal for the proficiency rate</w:t>
            </w:r>
          </w:p>
        </w:tc>
        <w:tc>
          <w:tcPr>
            <w:tcW w:w="1018" w:type="dxa"/>
            <w:shd w:val="clear" w:color="auto" w:fill="FFFFFF" w:themeFill="background1"/>
          </w:tcPr>
          <w:p w14:paraId="5A26951F" w14:textId="4FB23F18"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1D1FAE59" w14:textId="015E9024"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 points</w:t>
            </w:r>
          </w:p>
        </w:tc>
      </w:tr>
      <w:tr w:rsidR="00EC2EF6" w14:paraId="48F37FAA" w14:textId="77777777" w:rsidTr="008B115E">
        <w:tc>
          <w:tcPr>
            <w:tcW w:w="9350" w:type="dxa"/>
            <w:gridSpan w:val="3"/>
            <w:tcBorders>
              <w:bottom w:val="single" w:sz="4" w:space="0" w:color="auto"/>
            </w:tcBorders>
            <w:shd w:val="clear" w:color="auto" w:fill="2E74B5" w:themeFill="accent1" w:themeFillShade="BF"/>
          </w:tcPr>
          <w:p w14:paraId="0C5F8EBC" w14:textId="1533B4B5" w:rsidR="00EC2EF6" w:rsidRDefault="00EC2EF6" w:rsidP="004A38DC">
            <w:pPr>
              <w:pStyle w:val="psection-1"/>
              <w:spacing w:before="0" w:beforeAutospacing="0" w:after="0" w:afterAutospacing="0"/>
              <w:rPr>
                <w:rFonts w:asciiTheme="minorHAnsi" w:hAnsiTheme="minorHAnsi" w:cstheme="minorHAnsi"/>
                <w:sz w:val="22"/>
                <w:szCs w:val="22"/>
              </w:rPr>
            </w:pPr>
          </w:p>
        </w:tc>
      </w:tr>
      <w:tr w:rsidR="004A38DC" w14:paraId="427A56D0" w14:textId="77777777" w:rsidTr="008B115E">
        <w:tc>
          <w:tcPr>
            <w:tcW w:w="9350" w:type="dxa"/>
            <w:gridSpan w:val="3"/>
            <w:tcBorders>
              <w:bottom w:val="nil"/>
            </w:tcBorders>
          </w:tcPr>
          <w:p w14:paraId="46C8AF71" w14:textId="6DCFB66D" w:rsidR="004A38DC" w:rsidRPr="00E5604F" w:rsidRDefault="004A38DC" w:rsidP="004A38DC">
            <w:pPr>
              <w:pStyle w:val="psection-1"/>
              <w:numPr>
                <w:ilvl w:val="0"/>
                <w:numId w:val="3"/>
              </w:numPr>
              <w:spacing w:before="0" w:beforeAutospacing="0" w:after="0" w:afterAutospacing="0"/>
              <w:rPr>
                <w:rFonts w:asciiTheme="minorHAnsi" w:hAnsiTheme="minorHAnsi" w:cstheme="minorHAnsi"/>
                <w:b/>
                <w:szCs w:val="22"/>
              </w:rPr>
            </w:pPr>
            <w:r>
              <w:rPr>
                <w:rFonts w:asciiTheme="minorHAnsi" w:hAnsiTheme="minorHAnsi" w:cstheme="minorHAnsi"/>
                <w:b/>
                <w:szCs w:val="22"/>
              </w:rPr>
              <w:t xml:space="preserve">Graduation Rate </w:t>
            </w:r>
            <w:r w:rsidRPr="00EC2EF6">
              <w:rPr>
                <w:rFonts w:asciiTheme="minorHAnsi" w:hAnsiTheme="minorHAnsi" w:cstheme="minorHAnsi"/>
                <w:szCs w:val="22"/>
              </w:rPr>
              <w:t>(4 and 5 Year)</w:t>
            </w:r>
          </w:p>
          <w:p w14:paraId="1BFF4FFB" w14:textId="77777777" w:rsidR="004A38DC" w:rsidRDefault="004A38DC" w:rsidP="004A38DC">
            <w:pPr>
              <w:pStyle w:val="psection-1"/>
              <w:spacing w:before="0" w:beforeAutospacing="0" w:after="0" w:afterAutospacing="0"/>
              <w:rPr>
                <w:rFonts w:asciiTheme="minorHAnsi" w:hAnsiTheme="minorHAnsi" w:cstheme="minorHAnsi"/>
                <w:sz w:val="22"/>
                <w:szCs w:val="22"/>
              </w:rPr>
            </w:pPr>
          </w:p>
          <w:p w14:paraId="5D8B4246" w14:textId="04D1C021" w:rsidR="004A38DC" w:rsidRDefault="004A38DC"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Data Source:  Performance Reports</w:t>
            </w:r>
          </w:p>
        </w:tc>
      </w:tr>
      <w:tr w:rsidR="00080BF2" w14:paraId="20AD440B" w14:textId="77777777" w:rsidTr="008B115E">
        <w:tc>
          <w:tcPr>
            <w:tcW w:w="7020" w:type="dxa"/>
            <w:tcBorders>
              <w:top w:val="nil"/>
            </w:tcBorders>
          </w:tcPr>
          <w:p w14:paraId="37CBBE5E" w14:textId="77777777" w:rsidR="00080BF2" w:rsidRDefault="00080BF2" w:rsidP="004A38DC">
            <w:pPr>
              <w:pStyle w:val="psection-1"/>
              <w:spacing w:before="0" w:beforeAutospacing="0" w:after="0" w:afterAutospacing="0"/>
              <w:rPr>
                <w:rFonts w:asciiTheme="minorHAnsi" w:hAnsiTheme="minorHAnsi" w:cstheme="minorHAnsi"/>
                <w:sz w:val="22"/>
                <w:szCs w:val="22"/>
              </w:rPr>
            </w:pPr>
          </w:p>
        </w:tc>
        <w:tc>
          <w:tcPr>
            <w:tcW w:w="1018" w:type="dxa"/>
            <w:tcBorders>
              <w:top w:val="single" w:sz="4" w:space="0" w:color="auto"/>
            </w:tcBorders>
            <w:shd w:val="clear" w:color="auto" w:fill="DEEAF6" w:themeFill="accent1" w:themeFillTint="33"/>
          </w:tcPr>
          <w:p w14:paraId="1E52E68E" w14:textId="60A9BF78" w:rsidR="00080BF2" w:rsidRDefault="00080BF2" w:rsidP="004A38DC">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tcBorders>
              <w:top w:val="single" w:sz="4" w:space="0" w:color="auto"/>
            </w:tcBorders>
            <w:shd w:val="clear" w:color="auto" w:fill="DEEAF6" w:themeFill="accent1" w:themeFillTint="33"/>
          </w:tcPr>
          <w:p w14:paraId="6D639738" w14:textId="014DDE2F"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8B115E" w14:paraId="5DFCE8F3" w14:textId="77777777" w:rsidTr="00080BF2">
        <w:tc>
          <w:tcPr>
            <w:tcW w:w="7020" w:type="dxa"/>
          </w:tcPr>
          <w:p w14:paraId="6A614C2A" w14:textId="513DEB4C"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met the 4 year and the 5 year graduation rate targets (or met the target for one and the other is not applicable)</w:t>
            </w:r>
          </w:p>
        </w:tc>
        <w:tc>
          <w:tcPr>
            <w:tcW w:w="1018" w:type="dxa"/>
            <w:shd w:val="clear" w:color="auto" w:fill="FFFFFF" w:themeFill="background1"/>
          </w:tcPr>
          <w:p w14:paraId="19402459" w14:textId="4E55C67B"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31B3E8F6" w14:textId="07E65271"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8B115E" w14:paraId="274850B3" w14:textId="77777777" w:rsidTr="00080BF2">
        <w:tc>
          <w:tcPr>
            <w:tcW w:w="7020" w:type="dxa"/>
          </w:tcPr>
          <w:p w14:paraId="383A9AB2" w14:textId="2BE7E5F5"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did not meet the target for either the 4 year or the 5 year graduation rate</w:t>
            </w:r>
          </w:p>
        </w:tc>
        <w:tc>
          <w:tcPr>
            <w:tcW w:w="1018" w:type="dxa"/>
            <w:shd w:val="clear" w:color="auto" w:fill="FFFFFF" w:themeFill="background1"/>
          </w:tcPr>
          <w:p w14:paraId="5E6B1764" w14:textId="4BAC2F1B"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3B4D8085" w14:textId="4769B79E"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2.5 points</w:t>
            </w:r>
          </w:p>
        </w:tc>
      </w:tr>
      <w:tr w:rsidR="008B115E" w14:paraId="54A5936A" w14:textId="77777777" w:rsidTr="00080BF2">
        <w:tc>
          <w:tcPr>
            <w:tcW w:w="7020" w:type="dxa"/>
          </w:tcPr>
          <w:p w14:paraId="4A81AC56" w14:textId="224999F6" w:rsidR="008B115E" w:rsidRDefault="008B115E"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 did not meet the target for both the 4 year and the 5 year graduation rate</w:t>
            </w:r>
          </w:p>
        </w:tc>
        <w:tc>
          <w:tcPr>
            <w:tcW w:w="1018" w:type="dxa"/>
            <w:shd w:val="clear" w:color="auto" w:fill="FFFFFF" w:themeFill="background1"/>
          </w:tcPr>
          <w:p w14:paraId="731D981B" w14:textId="2797F128"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6BBD34F5" w14:textId="080F7BED" w:rsidR="008B115E" w:rsidRDefault="008B115E" w:rsidP="008B115E">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 points</w:t>
            </w:r>
          </w:p>
        </w:tc>
      </w:tr>
      <w:tr w:rsidR="00EC2EF6" w14:paraId="186465BB" w14:textId="77777777" w:rsidTr="001F5196">
        <w:tc>
          <w:tcPr>
            <w:tcW w:w="9350" w:type="dxa"/>
            <w:gridSpan w:val="3"/>
            <w:shd w:val="clear" w:color="auto" w:fill="2E74B5" w:themeFill="accent1" w:themeFillShade="BF"/>
          </w:tcPr>
          <w:p w14:paraId="6F151F73" w14:textId="51614030" w:rsidR="00EC2EF6" w:rsidRDefault="00EC2EF6" w:rsidP="004A38DC">
            <w:pPr>
              <w:pStyle w:val="psection-1"/>
              <w:spacing w:before="0" w:beforeAutospacing="0" w:after="0" w:afterAutospacing="0"/>
              <w:rPr>
                <w:rFonts w:asciiTheme="minorHAnsi" w:hAnsiTheme="minorHAnsi" w:cstheme="minorHAnsi"/>
                <w:sz w:val="22"/>
                <w:szCs w:val="22"/>
              </w:rPr>
            </w:pPr>
          </w:p>
        </w:tc>
      </w:tr>
      <w:tr w:rsidR="004A38DC" w14:paraId="6C7596C6" w14:textId="77777777" w:rsidTr="00080BF2">
        <w:tc>
          <w:tcPr>
            <w:tcW w:w="9350" w:type="dxa"/>
            <w:gridSpan w:val="3"/>
            <w:tcBorders>
              <w:bottom w:val="nil"/>
            </w:tcBorders>
          </w:tcPr>
          <w:p w14:paraId="231A40B6" w14:textId="6D2BBCD9" w:rsidR="004A38DC" w:rsidRPr="00EC2EF6" w:rsidRDefault="004A38DC" w:rsidP="004A38DC">
            <w:pPr>
              <w:pStyle w:val="psection-1"/>
              <w:numPr>
                <w:ilvl w:val="0"/>
                <w:numId w:val="3"/>
              </w:numPr>
              <w:spacing w:before="0" w:beforeAutospacing="0" w:after="0" w:afterAutospacing="0"/>
              <w:rPr>
                <w:rFonts w:asciiTheme="minorHAnsi" w:hAnsiTheme="minorHAnsi" w:cstheme="minorHAnsi"/>
                <w:szCs w:val="22"/>
              </w:rPr>
            </w:pPr>
            <w:r>
              <w:rPr>
                <w:rFonts w:asciiTheme="minorHAnsi" w:hAnsiTheme="minorHAnsi" w:cstheme="minorHAnsi"/>
                <w:b/>
                <w:szCs w:val="22"/>
              </w:rPr>
              <w:t>A</w:t>
            </w:r>
            <w:r w:rsidRPr="00E5604F">
              <w:rPr>
                <w:rFonts w:asciiTheme="minorHAnsi" w:hAnsiTheme="minorHAnsi" w:cstheme="minorHAnsi"/>
                <w:b/>
                <w:szCs w:val="22"/>
              </w:rPr>
              <w:t>ccurate data submissions for NJSmart</w:t>
            </w:r>
            <w:r w:rsidR="0030612D">
              <w:rPr>
                <w:rFonts w:asciiTheme="minorHAnsi" w:hAnsiTheme="minorHAnsi" w:cstheme="minorHAnsi"/>
                <w:b/>
                <w:szCs w:val="22"/>
              </w:rPr>
              <w:t xml:space="preserve"> </w:t>
            </w:r>
            <w:r w:rsidR="0030612D" w:rsidRPr="00EC2EF6">
              <w:rPr>
                <w:rFonts w:asciiTheme="minorHAnsi" w:hAnsiTheme="minorHAnsi" w:cstheme="minorHAnsi"/>
                <w:szCs w:val="22"/>
              </w:rPr>
              <w:t>(Summary of nine annual NJ Smart submissions)</w:t>
            </w:r>
          </w:p>
          <w:p w14:paraId="41314F79" w14:textId="77777777" w:rsidR="004A38DC" w:rsidRDefault="004A38DC" w:rsidP="004A38DC">
            <w:pPr>
              <w:pStyle w:val="psection-1"/>
              <w:spacing w:before="0" w:beforeAutospacing="0" w:after="0" w:afterAutospacing="0"/>
              <w:rPr>
                <w:rFonts w:asciiTheme="minorHAnsi" w:hAnsiTheme="minorHAnsi" w:cstheme="minorHAnsi"/>
                <w:sz w:val="22"/>
                <w:szCs w:val="22"/>
              </w:rPr>
            </w:pPr>
          </w:p>
          <w:p w14:paraId="15B8C54B" w14:textId="4FC7B787" w:rsidR="004A38DC" w:rsidRDefault="004A38DC" w:rsidP="008B115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Data Source:  QSAC report from IT</w:t>
            </w:r>
          </w:p>
        </w:tc>
      </w:tr>
      <w:tr w:rsidR="00080BF2" w14:paraId="070BE36F" w14:textId="77777777" w:rsidTr="00080BF2">
        <w:tc>
          <w:tcPr>
            <w:tcW w:w="7020" w:type="dxa"/>
            <w:tcBorders>
              <w:top w:val="nil"/>
            </w:tcBorders>
          </w:tcPr>
          <w:p w14:paraId="1219E6B1" w14:textId="77777777" w:rsidR="00080BF2" w:rsidRDefault="00080BF2" w:rsidP="0030612D">
            <w:pPr>
              <w:pStyle w:val="psection-1"/>
              <w:spacing w:before="0" w:beforeAutospacing="0" w:after="0" w:afterAutospacing="0"/>
              <w:rPr>
                <w:rFonts w:asciiTheme="minorHAnsi" w:hAnsiTheme="minorHAnsi" w:cstheme="minorHAnsi"/>
                <w:sz w:val="22"/>
                <w:szCs w:val="22"/>
              </w:rPr>
            </w:pPr>
          </w:p>
        </w:tc>
        <w:tc>
          <w:tcPr>
            <w:tcW w:w="1018" w:type="dxa"/>
            <w:shd w:val="clear" w:color="auto" w:fill="DEEAF6" w:themeFill="accent1" w:themeFillTint="33"/>
          </w:tcPr>
          <w:p w14:paraId="06B3C216" w14:textId="4DF2CE44" w:rsidR="00080BF2" w:rsidRDefault="00080BF2" w:rsidP="0030612D">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392978CB" w14:textId="5B0BF6C0"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30612D" w14:paraId="78133522" w14:textId="77777777" w:rsidTr="00080BF2">
        <w:tc>
          <w:tcPr>
            <w:tcW w:w="7020" w:type="dxa"/>
          </w:tcPr>
          <w:p w14:paraId="76262389" w14:textId="5FE4605F" w:rsidR="0030612D" w:rsidRDefault="0030612D" w:rsidP="0030612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LEA’s NJSmart data submissions did not contain any errors</w:t>
            </w:r>
          </w:p>
        </w:tc>
        <w:tc>
          <w:tcPr>
            <w:tcW w:w="1018" w:type="dxa"/>
            <w:shd w:val="clear" w:color="auto" w:fill="FFFFFF" w:themeFill="background1"/>
          </w:tcPr>
          <w:p w14:paraId="3304CB8E" w14:textId="740DD0B9" w:rsidR="0030612D" w:rsidRDefault="0030612D" w:rsidP="0030612D">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302E377B" w14:textId="2AEF2254" w:rsidR="0030612D" w:rsidRDefault="0030612D"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30612D" w14:paraId="54DA9073" w14:textId="77777777" w:rsidTr="00080BF2">
        <w:tc>
          <w:tcPr>
            <w:tcW w:w="7020" w:type="dxa"/>
          </w:tcPr>
          <w:p w14:paraId="724B5C41" w14:textId="5172F302" w:rsidR="0030612D" w:rsidRDefault="0030612D" w:rsidP="0030612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LEA’s NJSmart data submissions contained errors, but none at 1.5% or more</w:t>
            </w:r>
          </w:p>
        </w:tc>
        <w:tc>
          <w:tcPr>
            <w:tcW w:w="1018" w:type="dxa"/>
            <w:shd w:val="clear" w:color="auto" w:fill="FFFFFF" w:themeFill="background1"/>
          </w:tcPr>
          <w:p w14:paraId="501F2CBD" w14:textId="41E18492" w:rsidR="0030612D" w:rsidRDefault="0030612D" w:rsidP="0030612D">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570423B4" w14:textId="7AC19EA8" w:rsidR="0030612D" w:rsidRDefault="0030612D"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3.3 points</w:t>
            </w:r>
          </w:p>
        </w:tc>
      </w:tr>
      <w:tr w:rsidR="0030612D" w14:paraId="3189D607" w14:textId="77777777" w:rsidTr="00080BF2">
        <w:tc>
          <w:tcPr>
            <w:tcW w:w="7020" w:type="dxa"/>
          </w:tcPr>
          <w:p w14:paraId="13EA562F" w14:textId="5DD0226D" w:rsidR="0030612D" w:rsidRDefault="0030612D" w:rsidP="0030612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LEA’s NJSmart data had one submission with an error rate of 1.5% or more</w:t>
            </w:r>
          </w:p>
        </w:tc>
        <w:tc>
          <w:tcPr>
            <w:tcW w:w="1018" w:type="dxa"/>
            <w:shd w:val="clear" w:color="auto" w:fill="FFFFFF" w:themeFill="background1"/>
          </w:tcPr>
          <w:p w14:paraId="13483B94" w14:textId="7BE28094" w:rsidR="0030612D" w:rsidRDefault="0030612D" w:rsidP="0030612D">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1FF9143B" w14:textId="2ED58940" w:rsidR="0030612D" w:rsidRDefault="0030612D"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6.7 points</w:t>
            </w:r>
          </w:p>
        </w:tc>
      </w:tr>
      <w:tr w:rsidR="0030612D" w14:paraId="4CDD335F" w14:textId="77777777" w:rsidTr="00080BF2">
        <w:tc>
          <w:tcPr>
            <w:tcW w:w="7020" w:type="dxa"/>
          </w:tcPr>
          <w:p w14:paraId="2315A204" w14:textId="66EDDD01" w:rsidR="0030612D" w:rsidRDefault="0030612D" w:rsidP="0030612D">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LEA’s NJSmart data had two or more submissions with an error rate of 1.5% or more</w:t>
            </w:r>
          </w:p>
        </w:tc>
        <w:tc>
          <w:tcPr>
            <w:tcW w:w="1018" w:type="dxa"/>
            <w:shd w:val="clear" w:color="auto" w:fill="FFFFFF" w:themeFill="background1"/>
          </w:tcPr>
          <w:p w14:paraId="1F9595E6" w14:textId="29AAFB1F" w:rsidR="0030612D" w:rsidRDefault="0030612D" w:rsidP="0030612D">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312" w:type="dxa"/>
          </w:tcPr>
          <w:p w14:paraId="0FF5341F" w14:textId="4A8BFA82" w:rsidR="0030612D" w:rsidRDefault="0030612D"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10 points</w:t>
            </w:r>
          </w:p>
        </w:tc>
      </w:tr>
    </w:tbl>
    <w:p w14:paraId="13BFAE74" w14:textId="77777777" w:rsidR="00EC2EF6" w:rsidRDefault="00EC2EF6">
      <w:r>
        <w:br w:type="page"/>
      </w:r>
    </w:p>
    <w:tbl>
      <w:tblPr>
        <w:tblStyle w:val="TableGrid"/>
        <w:tblW w:w="9350" w:type="dxa"/>
        <w:tblLook w:val="04A0" w:firstRow="1" w:lastRow="0" w:firstColumn="1" w:lastColumn="0" w:noHBand="0" w:noVBand="1"/>
      </w:tblPr>
      <w:tblGrid>
        <w:gridCol w:w="7020"/>
        <w:gridCol w:w="1018"/>
        <w:gridCol w:w="1312"/>
      </w:tblGrid>
      <w:tr w:rsidR="00EC2EF6" w14:paraId="51C2526D" w14:textId="77777777" w:rsidTr="2EABC95F">
        <w:tc>
          <w:tcPr>
            <w:tcW w:w="9350" w:type="dxa"/>
            <w:gridSpan w:val="3"/>
            <w:shd w:val="clear" w:color="auto" w:fill="2E74B5" w:themeFill="accent1" w:themeFillShade="BF"/>
          </w:tcPr>
          <w:p w14:paraId="0FE4A609" w14:textId="48A44DC1" w:rsidR="00EC2EF6" w:rsidRDefault="00EC2EF6" w:rsidP="0030612D">
            <w:pPr>
              <w:pStyle w:val="ListParagraph"/>
              <w:ind w:left="1440"/>
            </w:pPr>
          </w:p>
        </w:tc>
      </w:tr>
      <w:tr w:rsidR="00EC2EF6" w14:paraId="72F65AFC" w14:textId="77777777" w:rsidTr="2EABC95F">
        <w:tc>
          <w:tcPr>
            <w:tcW w:w="9350" w:type="dxa"/>
            <w:gridSpan w:val="3"/>
            <w:tcBorders>
              <w:bottom w:val="nil"/>
            </w:tcBorders>
          </w:tcPr>
          <w:p w14:paraId="2B2BA34E" w14:textId="2D9FCDE2" w:rsidR="00EC2EF6" w:rsidRPr="00EC2EF6" w:rsidRDefault="00EC2EF6" w:rsidP="7BD66604">
            <w:pPr>
              <w:pStyle w:val="ListParagraph"/>
              <w:numPr>
                <w:ilvl w:val="0"/>
                <w:numId w:val="3"/>
              </w:numPr>
              <w:rPr>
                <w:b/>
                <w:bCs/>
                <w:sz w:val="24"/>
                <w:szCs w:val="24"/>
              </w:rPr>
            </w:pPr>
            <w:r w:rsidRPr="2EABC95F">
              <w:rPr>
                <w:b/>
                <w:bCs/>
                <w:sz w:val="24"/>
                <w:szCs w:val="24"/>
              </w:rPr>
              <w:t>Percentage of funds drawn down by June 30</w:t>
            </w:r>
            <w:r w:rsidRPr="2EABC95F">
              <w:rPr>
                <w:b/>
                <w:bCs/>
                <w:sz w:val="24"/>
                <w:szCs w:val="24"/>
                <w:vertAlign w:val="superscript"/>
              </w:rPr>
              <w:t>th</w:t>
            </w:r>
            <w:r w:rsidRPr="2EABC95F">
              <w:rPr>
                <w:b/>
                <w:bCs/>
                <w:sz w:val="24"/>
                <w:szCs w:val="24"/>
              </w:rPr>
              <w:t xml:space="preserve"> </w:t>
            </w:r>
            <w:r w:rsidR="6BE33E21" w:rsidRPr="2EABC95F">
              <w:rPr>
                <w:b/>
                <w:bCs/>
                <w:sz w:val="24"/>
                <w:szCs w:val="24"/>
              </w:rPr>
              <w:t xml:space="preserve">during current fiscal year </w:t>
            </w:r>
            <w:r w:rsidRPr="2EABC95F">
              <w:rPr>
                <w:sz w:val="24"/>
                <w:szCs w:val="24"/>
              </w:rPr>
              <w:t xml:space="preserve">(across </w:t>
            </w:r>
            <w:r w:rsidR="3626D315" w:rsidRPr="2EABC95F">
              <w:rPr>
                <w:sz w:val="24"/>
                <w:szCs w:val="24"/>
              </w:rPr>
              <w:t>following</w:t>
            </w:r>
            <w:r w:rsidRPr="2EABC95F">
              <w:rPr>
                <w:sz w:val="24"/>
                <w:szCs w:val="24"/>
              </w:rPr>
              <w:t xml:space="preserve"> programs</w:t>
            </w:r>
            <w:r w:rsidR="3626D315" w:rsidRPr="2EABC95F">
              <w:rPr>
                <w:sz w:val="24"/>
                <w:szCs w:val="24"/>
              </w:rPr>
              <w:t xml:space="preserve"> – Title 1, </w:t>
            </w:r>
            <w:r w:rsidR="40BDE0AE" w:rsidRPr="2EABC95F">
              <w:rPr>
                <w:sz w:val="24"/>
                <w:szCs w:val="24"/>
              </w:rPr>
              <w:t xml:space="preserve">Part A, </w:t>
            </w:r>
            <w:r w:rsidR="3626D315" w:rsidRPr="2EABC95F">
              <w:rPr>
                <w:sz w:val="24"/>
                <w:szCs w:val="24"/>
              </w:rPr>
              <w:t>Title II</w:t>
            </w:r>
            <w:r w:rsidR="6560B3E8" w:rsidRPr="2EABC95F">
              <w:rPr>
                <w:sz w:val="24"/>
                <w:szCs w:val="24"/>
              </w:rPr>
              <w:t xml:space="preserve">, Part </w:t>
            </w:r>
            <w:r w:rsidR="3626D315" w:rsidRPr="2EABC95F">
              <w:rPr>
                <w:sz w:val="24"/>
                <w:szCs w:val="24"/>
              </w:rPr>
              <w:t>A, Basic, Preschool, Perkins</w:t>
            </w:r>
            <w:r w:rsidR="090599D6" w:rsidRPr="2EABC95F">
              <w:rPr>
                <w:sz w:val="24"/>
                <w:szCs w:val="24"/>
              </w:rPr>
              <w:t xml:space="preserve"> and ESSER</w:t>
            </w:r>
            <w:r w:rsidRPr="2EABC95F">
              <w:rPr>
                <w:sz w:val="24"/>
                <w:szCs w:val="24"/>
              </w:rPr>
              <w:t>)</w:t>
            </w:r>
            <w:bookmarkStart w:id="0" w:name="_GoBack"/>
            <w:bookmarkEnd w:id="0"/>
            <w:commentRangeStart w:id="1"/>
            <w:commentRangeStart w:id="2"/>
            <w:commentRangeStart w:id="3"/>
            <w:commentRangeEnd w:id="1"/>
            <w:commentRangeEnd w:id="2"/>
            <w:commentRangeEnd w:id="3"/>
          </w:p>
          <w:p w14:paraId="4424AA9F" w14:textId="77777777" w:rsidR="00EC2EF6" w:rsidRDefault="00EC2EF6" w:rsidP="00EC2EF6"/>
          <w:p w14:paraId="7396959B" w14:textId="52BA8932" w:rsidR="00EC2EF6" w:rsidRDefault="00EC2EF6" w:rsidP="00286C4E">
            <w:r>
              <w:t xml:space="preserve">Data Source: EWEG </w:t>
            </w:r>
          </w:p>
        </w:tc>
      </w:tr>
      <w:tr w:rsidR="00080BF2" w14:paraId="50E4E3EB" w14:textId="77777777" w:rsidTr="2EABC95F">
        <w:tc>
          <w:tcPr>
            <w:tcW w:w="7020" w:type="dxa"/>
            <w:tcBorders>
              <w:top w:val="nil"/>
            </w:tcBorders>
          </w:tcPr>
          <w:p w14:paraId="7931426C" w14:textId="77777777" w:rsidR="00080BF2" w:rsidRDefault="00080BF2" w:rsidP="00A13D3E"/>
        </w:tc>
        <w:tc>
          <w:tcPr>
            <w:tcW w:w="1018" w:type="dxa"/>
            <w:shd w:val="clear" w:color="auto" w:fill="DEEAF6" w:themeFill="accent1" w:themeFillTint="33"/>
          </w:tcPr>
          <w:p w14:paraId="71CE1E45" w14:textId="444344C1" w:rsidR="00080BF2" w:rsidRDefault="00080BF2" w:rsidP="00A13D3E">
            <w:pPr>
              <w:jc w:val="center"/>
            </w:pPr>
            <w:r>
              <w:t>Category</w:t>
            </w:r>
          </w:p>
        </w:tc>
        <w:tc>
          <w:tcPr>
            <w:tcW w:w="1312" w:type="dxa"/>
            <w:shd w:val="clear" w:color="auto" w:fill="DEEAF6" w:themeFill="accent1" w:themeFillTint="33"/>
          </w:tcPr>
          <w:p w14:paraId="0B6C32C8" w14:textId="5A1AF471" w:rsidR="00080BF2" w:rsidRDefault="00080BF2" w:rsidP="00080BF2">
            <w:pPr>
              <w:jc w:val="center"/>
            </w:pPr>
            <w:r>
              <w:t>Points</w:t>
            </w:r>
          </w:p>
        </w:tc>
      </w:tr>
      <w:tr w:rsidR="00EC2EF6" w14:paraId="06610BB0" w14:textId="77777777" w:rsidTr="2EABC95F">
        <w:tc>
          <w:tcPr>
            <w:tcW w:w="7020" w:type="dxa"/>
          </w:tcPr>
          <w:p w14:paraId="700D632A" w14:textId="1702F99A" w:rsidR="00EC2EF6" w:rsidRDefault="00EC2EF6" w:rsidP="00A13D3E">
            <w:r>
              <w:t xml:space="preserve">The LEA </w:t>
            </w:r>
            <w:r w:rsidR="008E1B8D">
              <w:t xml:space="preserve">has </w:t>
            </w:r>
            <w:r w:rsidR="00A13D3E">
              <w:t xml:space="preserve">been paid </w:t>
            </w:r>
            <w:r w:rsidR="008E1B8D">
              <w:t xml:space="preserve">75% or more </w:t>
            </w:r>
            <w:r w:rsidR="00A13D3E">
              <w:t>of budgeted funds by June 30th</w:t>
            </w:r>
          </w:p>
        </w:tc>
        <w:tc>
          <w:tcPr>
            <w:tcW w:w="1018" w:type="dxa"/>
            <w:shd w:val="clear" w:color="auto" w:fill="FFFFFF" w:themeFill="background1"/>
          </w:tcPr>
          <w:p w14:paraId="7EDC2589" w14:textId="0D93321B" w:rsidR="00EC2EF6" w:rsidRDefault="00EC2EF6" w:rsidP="00A13D3E">
            <w:pPr>
              <w:jc w:val="center"/>
            </w:pPr>
            <w:r>
              <w:t>0</w:t>
            </w:r>
          </w:p>
        </w:tc>
        <w:tc>
          <w:tcPr>
            <w:tcW w:w="1312" w:type="dxa"/>
          </w:tcPr>
          <w:p w14:paraId="4CA23892" w14:textId="10DAD1FC" w:rsidR="00EC2EF6" w:rsidRDefault="00EC2EF6" w:rsidP="00080BF2">
            <w:pPr>
              <w:jc w:val="center"/>
            </w:pPr>
            <w:r>
              <w:t>0 points</w:t>
            </w:r>
          </w:p>
        </w:tc>
      </w:tr>
      <w:tr w:rsidR="00EC2EF6" w14:paraId="3BBBCA2C" w14:textId="77777777" w:rsidTr="2EABC95F">
        <w:tc>
          <w:tcPr>
            <w:tcW w:w="7020" w:type="dxa"/>
          </w:tcPr>
          <w:p w14:paraId="1993CA70" w14:textId="1FE02D01" w:rsidR="00EC2EF6" w:rsidRDefault="001B4BA0" w:rsidP="00A13D3E">
            <w:r>
              <w:t>The LEA has been paid between 6</w:t>
            </w:r>
            <w:r w:rsidR="00A13D3E">
              <w:t>0%-74% of budgeted funds by June 30th</w:t>
            </w:r>
          </w:p>
        </w:tc>
        <w:tc>
          <w:tcPr>
            <w:tcW w:w="1018" w:type="dxa"/>
            <w:shd w:val="clear" w:color="auto" w:fill="FFFFFF" w:themeFill="background1"/>
          </w:tcPr>
          <w:p w14:paraId="2A2781BA" w14:textId="0C77663F" w:rsidR="00EC2EF6" w:rsidRDefault="00EC2EF6" w:rsidP="00A13D3E">
            <w:pPr>
              <w:jc w:val="center"/>
            </w:pPr>
            <w:r>
              <w:t>1</w:t>
            </w:r>
          </w:p>
        </w:tc>
        <w:tc>
          <w:tcPr>
            <w:tcW w:w="1312" w:type="dxa"/>
          </w:tcPr>
          <w:p w14:paraId="55C9D9F7" w14:textId="44F7836D" w:rsidR="00EC2EF6" w:rsidRDefault="001B4BA0" w:rsidP="00080BF2">
            <w:pPr>
              <w:jc w:val="center"/>
            </w:pPr>
            <w:r>
              <w:t>2.5</w:t>
            </w:r>
            <w:r w:rsidR="00EC2EF6">
              <w:t xml:space="preserve"> point</w:t>
            </w:r>
            <w:r w:rsidR="00A13D3E">
              <w:t>s</w:t>
            </w:r>
          </w:p>
        </w:tc>
      </w:tr>
      <w:tr w:rsidR="001B4BA0" w14:paraId="4322DC8E" w14:textId="77777777" w:rsidTr="2EABC95F">
        <w:tc>
          <w:tcPr>
            <w:tcW w:w="7020" w:type="dxa"/>
          </w:tcPr>
          <w:p w14:paraId="2459FD6D" w14:textId="2CA2B0D5" w:rsidR="001B4BA0" w:rsidRDefault="001B4BA0" w:rsidP="001B4BA0">
            <w:r>
              <w:t>The LEA has been paid between 45%-59% of budgeted funds by June 30th</w:t>
            </w:r>
          </w:p>
        </w:tc>
        <w:tc>
          <w:tcPr>
            <w:tcW w:w="1018" w:type="dxa"/>
            <w:shd w:val="clear" w:color="auto" w:fill="FFFFFF" w:themeFill="background1"/>
          </w:tcPr>
          <w:p w14:paraId="2B5C0DA6" w14:textId="31A929EC" w:rsidR="001B4BA0" w:rsidRDefault="001B4BA0" w:rsidP="00A13D3E">
            <w:pPr>
              <w:jc w:val="center"/>
            </w:pPr>
            <w:r>
              <w:t>2</w:t>
            </w:r>
          </w:p>
        </w:tc>
        <w:tc>
          <w:tcPr>
            <w:tcW w:w="1312" w:type="dxa"/>
          </w:tcPr>
          <w:p w14:paraId="058464FC" w14:textId="4E4EC1B6" w:rsidR="001B4BA0" w:rsidRDefault="001B4BA0" w:rsidP="00080BF2">
            <w:pPr>
              <w:jc w:val="center"/>
            </w:pPr>
            <w:r>
              <w:t>5 points</w:t>
            </w:r>
          </w:p>
        </w:tc>
      </w:tr>
      <w:tr w:rsidR="00EC2EF6" w14:paraId="2BA74E88" w14:textId="77777777" w:rsidTr="2EABC95F">
        <w:tc>
          <w:tcPr>
            <w:tcW w:w="7020" w:type="dxa"/>
          </w:tcPr>
          <w:p w14:paraId="540A1FD3" w14:textId="58A0F378" w:rsidR="00EC2EF6" w:rsidRDefault="00A13D3E" w:rsidP="001B4BA0">
            <w:r>
              <w:t>The LEA has been paid between 2</w:t>
            </w:r>
            <w:r w:rsidR="001B4BA0">
              <w:t>5</w:t>
            </w:r>
            <w:r>
              <w:t>%-4</w:t>
            </w:r>
            <w:r w:rsidR="001B4BA0">
              <w:t>4</w:t>
            </w:r>
            <w:r>
              <w:t>% of budgeted funds by June 30th</w:t>
            </w:r>
          </w:p>
        </w:tc>
        <w:tc>
          <w:tcPr>
            <w:tcW w:w="1018" w:type="dxa"/>
            <w:shd w:val="clear" w:color="auto" w:fill="FFFFFF" w:themeFill="background1"/>
          </w:tcPr>
          <w:p w14:paraId="0188E668" w14:textId="18ED4759" w:rsidR="00EC2EF6" w:rsidRDefault="001B4BA0" w:rsidP="00A13D3E">
            <w:pPr>
              <w:jc w:val="center"/>
            </w:pPr>
            <w:r>
              <w:t>3</w:t>
            </w:r>
          </w:p>
        </w:tc>
        <w:tc>
          <w:tcPr>
            <w:tcW w:w="1312" w:type="dxa"/>
          </w:tcPr>
          <w:p w14:paraId="2373C708" w14:textId="621B59BE" w:rsidR="00EC2EF6" w:rsidRDefault="00A13D3E" w:rsidP="00080BF2">
            <w:pPr>
              <w:jc w:val="center"/>
            </w:pPr>
            <w:r>
              <w:t>7</w:t>
            </w:r>
            <w:r w:rsidR="001B4BA0">
              <w:t>.5</w:t>
            </w:r>
            <w:r w:rsidR="00EC2EF6">
              <w:t xml:space="preserve"> points</w:t>
            </w:r>
          </w:p>
        </w:tc>
      </w:tr>
      <w:tr w:rsidR="00EC2EF6" w14:paraId="2058116E" w14:textId="77777777" w:rsidTr="2EABC95F">
        <w:tc>
          <w:tcPr>
            <w:tcW w:w="7020" w:type="dxa"/>
          </w:tcPr>
          <w:p w14:paraId="41AC758A" w14:textId="61A507BF" w:rsidR="00EC2EF6" w:rsidRDefault="00A13D3E" w:rsidP="00A13D3E">
            <w:r>
              <w:t>The LEA has been paid under 25% of budgeted funds by June 30</w:t>
            </w:r>
            <w:r w:rsidRPr="004544D1">
              <w:rPr>
                <w:vertAlign w:val="superscript"/>
              </w:rPr>
              <w:t>th</w:t>
            </w:r>
          </w:p>
        </w:tc>
        <w:tc>
          <w:tcPr>
            <w:tcW w:w="1018" w:type="dxa"/>
            <w:shd w:val="clear" w:color="auto" w:fill="FFFFFF" w:themeFill="background1"/>
          </w:tcPr>
          <w:p w14:paraId="057B47CE" w14:textId="0C4C9CBE" w:rsidR="00EC2EF6" w:rsidRDefault="001B4BA0" w:rsidP="00A13D3E">
            <w:pPr>
              <w:jc w:val="center"/>
            </w:pPr>
            <w:r>
              <w:t>4</w:t>
            </w:r>
          </w:p>
        </w:tc>
        <w:tc>
          <w:tcPr>
            <w:tcW w:w="1312" w:type="dxa"/>
          </w:tcPr>
          <w:p w14:paraId="10261749" w14:textId="41A0C902" w:rsidR="00EC2EF6" w:rsidRDefault="00A13D3E" w:rsidP="00080BF2">
            <w:pPr>
              <w:jc w:val="center"/>
            </w:pPr>
            <w:r>
              <w:t>10</w:t>
            </w:r>
            <w:r w:rsidR="00EC2EF6">
              <w:t xml:space="preserve"> points</w:t>
            </w:r>
          </w:p>
        </w:tc>
      </w:tr>
      <w:tr w:rsidR="00A13D3E" w14:paraId="279F044F" w14:textId="77777777" w:rsidTr="2EABC95F">
        <w:tc>
          <w:tcPr>
            <w:tcW w:w="9350" w:type="dxa"/>
            <w:gridSpan w:val="3"/>
            <w:shd w:val="clear" w:color="auto" w:fill="2E74B5" w:themeFill="accent1" w:themeFillShade="BF"/>
          </w:tcPr>
          <w:p w14:paraId="128F899D" w14:textId="77777777" w:rsidR="00A13D3E" w:rsidRPr="00036B6B" w:rsidRDefault="00A13D3E" w:rsidP="00A13D3E">
            <w:pPr>
              <w:pStyle w:val="ListParagraph"/>
              <w:rPr>
                <w:b/>
                <w:sz w:val="24"/>
              </w:rPr>
            </w:pPr>
          </w:p>
        </w:tc>
      </w:tr>
      <w:tr w:rsidR="00A13D3E" w14:paraId="78B63B87" w14:textId="77777777" w:rsidTr="2EABC95F">
        <w:tc>
          <w:tcPr>
            <w:tcW w:w="9350" w:type="dxa"/>
            <w:gridSpan w:val="3"/>
            <w:tcBorders>
              <w:bottom w:val="nil"/>
            </w:tcBorders>
          </w:tcPr>
          <w:p w14:paraId="43155250" w14:textId="7B5A9051" w:rsidR="00A13D3E" w:rsidRPr="00036B6B" w:rsidRDefault="00A13D3E" w:rsidP="00A13D3E">
            <w:pPr>
              <w:pStyle w:val="ListParagraph"/>
              <w:numPr>
                <w:ilvl w:val="0"/>
                <w:numId w:val="3"/>
              </w:numPr>
              <w:rPr>
                <w:b/>
                <w:sz w:val="24"/>
              </w:rPr>
            </w:pPr>
            <w:r w:rsidRPr="00036B6B">
              <w:rPr>
                <w:b/>
                <w:sz w:val="24"/>
              </w:rPr>
              <w:t xml:space="preserve">Frequency of reimbursement requests </w:t>
            </w:r>
            <w:r w:rsidRPr="00EC2EF6">
              <w:rPr>
                <w:sz w:val="24"/>
              </w:rPr>
              <w:t>(</w:t>
            </w:r>
            <w:r w:rsidR="00363018">
              <w:rPr>
                <w:sz w:val="24"/>
              </w:rPr>
              <w:t>calculated as an average</w:t>
            </w:r>
            <w:r w:rsidR="00E82637">
              <w:rPr>
                <w:sz w:val="24"/>
              </w:rPr>
              <w:t xml:space="preserve"> </w:t>
            </w:r>
            <w:r w:rsidRPr="00EC2EF6">
              <w:rPr>
                <w:sz w:val="24"/>
              </w:rPr>
              <w:t>across all programs</w:t>
            </w:r>
            <w:r w:rsidR="003E2086">
              <w:rPr>
                <w:sz w:val="24"/>
              </w:rPr>
              <w:t xml:space="preserve"> including ESSER</w:t>
            </w:r>
            <w:r w:rsidRPr="00EC2EF6">
              <w:rPr>
                <w:sz w:val="24"/>
              </w:rPr>
              <w:t>)</w:t>
            </w:r>
          </w:p>
          <w:p w14:paraId="2403AA6B" w14:textId="77777777" w:rsidR="00A13D3E" w:rsidRDefault="00A13D3E" w:rsidP="00A13D3E"/>
          <w:p w14:paraId="0DB876E7" w14:textId="6CECC7D1" w:rsidR="00A13D3E" w:rsidRDefault="00A13D3E" w:rsidP="00286C4E">
            <w:r>
              <w:t xml:space="preserve">Data Source: EWEG </w:t>
            </w:r>
          </w:p>
        </w:tc>
      </w:tr>
      <w:tr w:rsidR="00080BF2" w14:paraId="7CBFAD26" w14:textId="77777777" w:rsidTr="2EABC95F">
        <w:tc>
          <w:tcPr>
            <w:tcW w:w="7020" w:type="dxa"/>
            <w:tcBorders>
              <w:top w:val="nil"/>
            </w:tcBorders>
          </w:tcPr>
          <w:p w14:paraId="5EF4D431" w14:textId="77777777" w:rsidR="00080BF2" w:rsidRDefault="00080BF2" w:rsidP="00E82637"/>
        </w:tc>
        <w:tc>
          <w:tcPr>
            <w:tcW w:w="1018" w:type="dxa"/>
            <w:shd w:val="clear" w:color="auto" w:fill="DEEAF6" w:themeFill="accent1" w:themeFillTint="33"/>
          </w:tcPr>
          <w:p w14:paraId="717D563B" w14:textId="5656D7DA" w:rsidR="00080BF2" w:rsidRDefault="00080BF2" w:rsidP="00E82637">
            <w:pPr>
              <w:jc w:val="center"/>
            </w:pPr>
            <w:r>
              <w:t>Category</w:t>
            </w:r>
          </w:p>
        </w:tc>
        <w:tc>
          <w:tcPr>
            <w:tcW w:w="1312" w:type="dxa"/>
            <w:shd w:val="clear" w:color="auto" w:fill="DEEAF6" w:themeFill="accent1" w:themeFillTint="33"/>
          </w:tcPr>
          <w:p w14:paraId="70620DFE" w14:textId="1C24BDC6" w:rsidR="00080BF2" w:rsidRDefault="00080BF2" w:rsidP="00080BF2">
            <w:pPr>
              <w:jc w:val="center"/>
            </w:pPr>
            <w:r>
              <w:t>Points</w:t>
            </w:r>
          </w:p>
        </w:tc>
      </w:tr>
      <w:tr w:rsidR="00E82637" w14:paraId="694CD16C" w14:textId="77777777" w:rsidTr="2EABC95F">
        <w:tc>
          <w:tcPr>
            <w:tcW w:w="7020" w:type="dxa"/>
          </w:tcPr>
          <w:p w14:paraId="0216B26B" w14:textId="00FD779A" w:rsidR="00E82637" w:rsidRPr="00E5604F" w:rsidRDefault="00E82637" w:rsidP="00982CC9">
            <w:r>
              <w:t xml:space="preserve">The LEA submitted, on average across all programs, a reimbursement request in every </w:t>
            </w:r>
            <w:r w:rsidR="00982CC9">
              <w:t>q</w:t>
            </w:r>
            <w:r>
              <w:t xml:space="preserve">uarter </w:t>
            </w:r>
          </w:p>
        </w:tc>
        <w:tc>
          <w:tcPr>
            <w:tcW w:w="1018" w:type="dxa"/>
            <w:shd w:val="clear" w:color="auto" w:fill="FFFFFF" w:themeFill="background1"/>
          </w:tcPr>
          <w:p w14:paraId="49FACD15" w14:textId="5F405586" w:rsidR="00E82637" w:rsidRDefault="00E82637" w:rsidP="00E82637">
            <w:pPr>
              <w:jc w:val="center"/>
            </w:pPr>
            <w:r>
              <w:t>0</w:t>
            </w:r>
          </w:p>
        </w:tc>
        <w:tc>
          <w:tcPr>
            <w:tcW w:w="1312" w:type="dxa"/>
          </w:tcPr>
          <w:p w14:paraId="3BC75676" w14:textId="4AA3628F" w:rsidR="00E82637" w:rsidRPr="00E5604F" w:rsidRDefault="00E82637" w:rsidP="00080BF2">
            <w:pPr>
              <w:jc w:val="center"/>
            </w:pPr>
            <w:r>
              <w:t>0 points</w:t>
            </w:r>
          </w:p>
        </w:tc>
      </w:tr>
      <w:tr w:rsidR="00E82637" w14:paraId="392B4E91" w14:textId="77777777" w:rsidTr="2EABC95F">
        <w:tc>
          <w:tcPr>
            <w:tcW w:w="7020" w:type="dxa"/>
          </w:tcPr>
          <w:p w14:paraId="430B03EF" w14:textId="7683E66A" w:rsidR="00E82637" w:rsidRPr="00E5604F" w:rsidRDefault="00E82637" w:rsidP="00982CC9">
            <w:r>
              <w:t xml:space="preserve">The LEA submitted, on average across all programs, a reimbursement request in all but one </w:t>
            </w:r>
            <w:r w:rsidR="00982CC9">
              <w:t>q</w:t>
            </w:r>
            <w:r>
              <w:t>uarter</w:t>
            </w:r>
          </w:p>
        </w:tc>
        <w:tc>
          <w:tcPr>
            <w:tcW w:w="1018" w:type="dxa"/>
            <w:shd w:val="clear" w:color="auto" w:fill="FFFFFF" w:themeFill="background1"/>
          </w:tcPr>
          <w:p w14:paraId="030959E4" w14:textId="421DDE94" w:rsidR="00E82637" w:rsidRDefault="00E82637" w:rsidP="00E82637">
            <w:pPr>
              <w:jc w:val="center"/>
            </w:pPr>
            <w:r>
              <w:t>1</w:t>
            </w:r>
          </w:p>
        </w:tc>
        <w:tc>
          <w:tcPr>
            <w:tcW w:w="1312" w:type="dxa"/>
          </w:tcPr>
          <w:p w14:paraId="18A2D0A7" w14:textId="2A90156B" w:rsidR="00E82637" w:rsidRPr="00E5604F" w:rsidRDefault="00E82637" w:rsidP="00080BF2">
            <w:pPr>
              <w:jc w:val="center"/>
            </w:pPr>
            <w:r>
              <w:t>2.5 points</w:t>
            </w:r>
          </w:p>
        </w:tc>
      </w:tr>
      <w:tr w:rsidR="00E82637" w14:paraId="61081249" w14:textId="77777777" w:rsidTr="2EABC95F">
        <w:tc>
          <w:tcPr>
            <w:tcW w:w="7020" w:type="dxa"/>
          </w:tcPr>
          <w:p w14:paraId="4D71D77C" w14:textId="6D43A155" w:rsidR="00E82637" w:rsidRPr="00E5604F" w:rsidRDefault="5820187B" w:rsidP="00E82637">
            <w:r>
              <w:t xml:space="preserve">The LEA submitted, on average across all programs, a reimbursement request in </w:t>
            </w:r>
            <w:r w:rsidR="4682AF37">
              <w:t>two quarters, only</w:t>
            </w:r>
          </w:p>
        </w:tc>
        <w:tc>
          <w:tcPr>
            <w:tcW w:w="1018" w:type="dxa"/>
            <w:shd w:val="clear" w:color="auto" w:fill="FFFFFF" w:themeFill="background1"/>
          </w:tcPr>
          <w:p w14:paraId="1D72E7CB" w14:textId="0EF0B8FF" w:rsidR="00E82637" w:rsidRDefault="00E82637" w:rsidP="00E82637">
            <w:pPr>
              <w:jc w:val="center"/>
            </w:pPr>
            <w:r>
              <w:t>2</w:t>
            </w:r>
          </w:p>
        </w:tc>
        <w:tc>
          <w:tcPr>
            <w:tcW w:w="1312" w:type="dxa"/>
          </w:tcPr>
          <w:p w14:paraId="23647C7A" w14:textId="31D9C58D" w:rsidR="00E82637" w:rsidRPr="00E5604F" w:rsidRDefault="00E82637" w:rsidP="00080BF2">
            <w:pPr>
              <w:jc w:val="center"/>
            </w:pPr>
            <w:r>
              <w:t>5 points</w:t>
            </w:r>
          </w:p>
        </w:tc>
      </w:tr>
      <w:tr w:rsidR="00E82637" w14:paraId="4E89EE72" w14:textId="77777777" w:rsidTr="2EABC95F">
        <w:tc>
          <w:tcPr>
            <w:tcW w:w="7020" w:type="dxa"/>
          </w:tcPr>
          <w:p w14:paraId="08EE3DE2" w14:textId="5ACBB238" w:rsidR="00E82637" w:rsidRDefault="5820187B" w:rsidP="00E82637">
            <w:r>
              <w:t>The LEA submitted, on average across all programs, a reimbursement request in</w:t>
            </w:r>
            <w:r w:rsidR="190624B2">
              <w:t xml:space="preserve"> one quarter, only </w:t>
            </w:r>
          </w:p>
        </w:tc>
        <w:tc>
          <w:tcPr>
            <w:tcW w:w="1018" w:type="dxa"/>
            <w:shd w:val="clear" w:color="auto" w:fill="FFFFFF" w:themeFill="background1"/>
          </w:tcPr>
          <w:p w14:paraId="36C8CA17" w14:textId="1C8D5A77" w:rsidR="00E82637" w:rsidRDefault="00E82637" w:rsidP="00E82637">
            <w:pPr>
              <w:jc w:val="center"/>
            </w:pPr>
            <w:r>
              <w:t>3</w:t>
            </w:r>
          </w:p>
        </w:tc>
        <w:tc>
          <w:tcPr>
            <w:tcW w:w="1312" w:type="dxa"/>
          </w:tcPr>
          <w:p w14:paraId="4FFD96AB" w14:textId="0A7C882B" w:rsidR="00E82637" w:rsidRDefault="00E82637" w:rsidP="00080BF2">
            <w:pPr>
              <w:jc w:val="center"/>
            </w:pPr>
            <w:r>
              <w:t>7.5 points</w:t>
            </w:r>
          </w:p>
        </w:tc>
      </w:tr>
      <w:tr w:rsidR="00E82637" w14:paraId="4E5B2C3D" w14:textId="77777777" w:rsidTr="2EABC95F">
        <w:tc>
          <w:tcPr>
            <w:tcW w:w="7020" w:type="dxa"/>
          </w:tcPr>
          <w:p w14:paraId="636E6B9D" w14:textId="45B101D9" w:rsidR="00E82637" w:rsidRDefault="00E82637" w:rsidP="00982CC9">
            <w:r>
              <w:t xml:space="preserve">The LEA did not submit, on average across all programs, a reimbursement request in any </w:t>
            </w:r>
            <w:r w:rsidR="00982CC9">
              <w:t>q</w:t>
            </w:r>
            <w:r>
              <w:t>uarter</w:t>
            </w:r>
          </w:p>
        </w:tc>
        <w:tc>
          <w:tcPr>
            <w:tcW w:w="1018" w:type="dxa"/>
            <w:shd w:val="clear" w:color="auto" w:fill="FFFFFF" w:themeFill="background1"/>
          </w:tcPr>
          <w:p w14:paraId="2DFF142A" w14:textId="6D7D79A7" w:rsidR="00E82637" w:rsidRDefault="00E82637" w:rsidP="00E82637">
            <w:pPr>
              <w:jc w:val="center"/>
            </w:pPr>
            <w:r>
              <w:t>4</w:t>
            </w:r>
          </w:p>
        </w:tc>
        <w:tc>
          <w:tcPr>
            <w:tcW w:w="1312" w:type="dxa"/>
          </w:tcPr>
          <w:p w14:paraId="1E23615F" w14:textId="5C86BF15" w:rsidR="00E82637" w:rsidRDefault="00E82637" w:rsidP="00080BF2">
            <w:pPr>
              <w:jc w:val="center"/>
            </w:pPr>
            <w:r>
              <w:t>10 points</w:t>
            </w:r>
          </w:p>
        </w:tc>
      </w:tr>
      <w:tr w:rsidR="00E82637" w14:paraId="0E9A30BE" w14:textId="77777777" w:rsidTr="2EABC95F">
        <w:tc>
          <w:tcPr>
            <w:tcW w:w="9350" w:type="dxa"/>
            <w:gridSpan w:val="3"/>
            <w:shd w:val="clear" w:color="auto" w:fill="2E74B5" w:themeFill="accent1" w:themeFillShade="BF"/>
          </w:tcPr>
          <w:p w14:paraId="0DB25CAE" w14:textId="14CEFB91" w:rsidR="00E82637" w:rsidRDefault="00E82637" w:rsidP="00E82637"/>
        </w:tc>
      </w:tr>
      <w:tr w:rsidR="00303C06" w:rsidRPr="0081128B" w14:paraId="7EA072FA" w14:textId="77777777" w:rsidTr="2EABC95F">
        <w:tc>
          <w:tcPr>
            <w:tcW w:w="9350" w:type="dxa"/>
            <w:gridSpan w:val="3"/>
            <w:tcBorders>
              <w:bottom w:val="nil"/>
            </w:tcBorders>
          </w:tcPr>
          <w:p w14:paraId="7485E96D" w14:textId="3A2B77E6" w:rsidR="00303C06" w:rsidRPr="00363018" w:rsidRDefault="00303C06" w:rsidP="00303C06">
            <w:pPr>
              <w:pStyle w:val="ListParagraph"/>
              <w:numPr>
                <w:ilvl w:val="0"/>
                <w:numId w:val="3"/>
              </w:numPr>
              <w:rPr>
                <w:b/>
                <w:sz w:val="24"/>
              </w:rPr>
            </w:pPr>
            <w:r>
              <w:rPr>
                <w:b/>
                <w:sz w:val="24"/>
              </w:rPr>
              <w:t>Number of Application Revision Rounds</w:t>
            </w:r>
            <w:r w:rsidRPr="00036B6B">
              <w:rPr>
                <w:b/>
                <w:sz w:val="24"/>
              </w:rPr>
              <w:t xml:space="preserve"> </w:t>
            </w:r>
            <w:r w:rsidRPr="00363018">
              <w:rPr>
                <w:sz w:val="24"/>
              </w:rPr>
              <w:t>(across all programs</w:t>
            </w:r>
            <w:r w:rsidR="003E2086">
              <w:rPr>
                <w:sz w:val="24"/>
              </w:rPr>
              <w:t xml:space="preserve"> including ESSER</w:t>
            </w:r>
            <w:r w:rsidRPr="00363018">
              <w:rPr>
                <w:sz w:val="24"/>
              </w:rPr>
              <w:t>)</w:t>
            </w:r>
            <w:r>
              <w:rPr>
                <w:rStyle w:val="FootnoteReference"/>
                <w:rFonts w:cstheme="minorHAnsi"/>
                <w:b/>
              </w:rPr>
              <w:t xml:space="preserve"> </w:t>
            </w:r>
            <w:r>
              <w:rPr>
                <w:rStyle w:val="FootnoteReference"/>
                <w:rFonts w:cstheme="minorHAnsi"/>
                <w:b/>
              </w:rPr>
              <w:footnoteReference w:id="2"/>
            </w:r>
          </w:p>
          <w:p w14:paraId="5058ED9D" w14:textId="77777777" w:rsidR="00303C06" w:rsidRPr="0081128B" w:rsidRDefault="00303C06" w:rsidP="00393727">
            <w:pPr>
              <w:pStyle w:val="psection-1"/>
              <w:spacing w:before="150" w:beforeAutospacing="0" w:after="150" w:afterAutospacing="0"/>
              <w:rPr>
                <w:rFonts w:asciiTheme="minorHAnsi" w:hAnsiTheme="minorHAnsi" w:cstheme="minorHAnsi"/>
                <w:sz w:val="22"/>
                <w:szCs w:val="22"/>
              </w:rPr>
            </w:pPr>
            <w:r w:rsidRPr="0081128B">
              <w:rPr>
                <w:rFonts w:asciiTheme="minorHAnsi" w:hAnsiTheme="minorHAnsi" w:cstheme="minorHAnsi"/>
                <w:sz w:val="22"/>
              </w:rPr>
              <w:t>Dat</w:t>
            </w:r>
            <w:r>
              <w:rPr>
                <w:rFonts w:asciiTheme="minorHAnsi" w:hAnsiTheme="minorHAnsi" w:cstheme="minorHAnsi"/>
                <w:sz w:val="22"/>
              </w:rPr>
              <w:t xml:space="preserve">a Source:  EWEG </w:t>
            </w:r>
          </w:p>
        </w:tc>
      </w:tr>
      <w:tr w:rsidR="00080BF2" w14:paraId="17741982" w14:textId="77777777" w:rsidTr="2EABC95F">
        <w:tc>
          <w:tcPr>
            <w:tcW w:w="7020" w:type="dxa"/>
            <w:tcBorders>
              <w:top w:val="nil"/>
            </w:tcBorders>
          </w:tcPr>
          <w:p w14:paraId="6F0EB655" w14:textId="77777777" w:rsidR="00080BF2" w:rsidRPr="0081128B" w:rsidRDefault="00080BF2" w:rsidP="00303C06">
            <w:pPr>
              <w:pStyle w:val="psection-1"/>
              <w:spacing w:before="0" w:beforeAutospacing="0" w:after="0" w:afterAutospacing="0"/>
              <w:rPr>
                <w:rFonts w:asciiTheme="minorHAnsi" w:hAnsiTheme="minorHAnsi" w:cstheme="minorHAnsi"/>
                <w:sz w:val="22"/>
              </w:rPr>
            </w:pPr>
          </w:p>
        </w:tc>
        <w:tc>
          <w:tcPr>
            <w:tcW w:w="1018" w:type="dxa"/>
            <w:shd w:val="clear" w:color="auto" w:fill="DEEAF6" w:themeFill="accent1" w:themeFillTint="33"/>
          </w:tcPr>
          <w:p w14:paraId="2275DC5B" w14:textId="507C5A23" w:rsidR="00080BF2" w:rsidRDefault="00080BF2" w:rsidP="00303C06">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1E93641B" w14:textId="4A44650E"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303C06" w14:paraId="39233C47" w14:textId="77777777" w:rsidTr="2EABC95F">
        <w:tc>
          <w:tcPr>
            <w:tcW w:w="7020" w:type="dxa"/>
          </w:tcPr>
          <w:p w14:paraId="6C67E3F1" w14:textId="3658BF15" w:rsidR="00303C06" w:rsidRPr="0081128B" w:rsidRDefault="00303C06" w:rsidP="00303C06">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 xml:space="preserve">The </w:t>
            </w:r>
            <w:r>
              <w:rPr>
                <w:rFonts w:asciiTheme="minorHAnsi" w:hAnsiTheme="minorHAnsi" w:cstheme="minorHAnsi"/>
                <w:sz w:val="22"/>
              </w:rPr>
              <w:t>LEA had below the average number of revision rounds for all programs it participated in.</w:t>
            </w:r>
          </w:p>
        </w:tc>
        <w:tc>
          <w:tcPr>
            <w:tcW w:w="1018" w:type="dxa"/>
            <w:shd w:val="clear" w:color="auto" w:fill="FFFFFF" w:themeFill="background1"/>
          </w:tcPr>
          <w:p w14:paraId="68A08FF5" w14:textId="563678C2" w:rsidR="00303C06" w:rsidRDefault="00303C06" w:rsidP="00303C06">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72BF8A22" w14:textId="77777777" w:rsidR="00303C06" w:rsidRDefault="00303C06"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303C06" w14:paraId="00DED7D0" w14:textId="77777777" w:rsidTr="2EABC95F">
        <w:tc>
          <w:tcPr>
            <w:tcW w:w="7020" w:type="dxa"/>
          </w:tcPr>
          <w:p w14:paraId="211DA5DC" w14:textId="0009EE47" w:rsidR="00303C06" w:rsidRPr="0081128B" w:rsidRDefault="00303C06" w:rsidP="00393727">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rPr>
              <w:t>The LEA was at the average number of revision rounds for at least one program and at or below the average on any other program.</w:t>
            </w:r>
          </w:p>
        </w:tc>
        <w:tc>
          <w:tcPr>
            <w:tcW w:w="1018" w:type="dxa"/>
            <w:shd w:val="clear" w:color="auto" w:fill="FFFFFF" w:themeFill="background1"/>
          </w:tcPr>
          <w:p w14:paraId="0970A40B" w14:textId="02C38A2A" w:rsidR="00303C06" w:rsidRDefault="00303C06" w:rsidP="00303C06">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4151F989" w14:textId="784A7E6A" w:rsidR="00303C06" w:rsidRDefault="00303C06"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3.3 points</w:t>
            </w:r>
          </w:p>
        </w:tc>
      </w:tr>
      <w:tr w:rsidR="00303C06" w14:paraId="00C3998B" w14:textId="77777777" w:rsidTr="2EABC95F">
        <w:tc>
          <w:tcPr>
            <w:tcW w:w="7020" w:type="dxa"/>
          </w:tcPr>
          <w:p w14:paraId="524CC22D" w14:textId="1806D79D" w:rsidR="00303C06" w:rsidRPr="0081128B" w:rsidRDefault="00303C06" w:rsidP="00393727">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rPr>
              <w:t>The LEA was one revision above the average on at least one program</w:t>
            </w:r>
          </w:p>
        </w:tc>
        <w:tc>
          <w:tcPr>
            <w:tcW w:w="1018" w:type="dxa"/>
            <w:shd w:val="clear" w:color="auto" w:fill="FFFFFF" w:themeFill="background1"/>
          </w:tcPr>
          <w:p w14:paraId="65C207EB" w14:textId="22981F03" w:rsidR="00303C06" w:rsidRDefault="00303C06" w:rsidP="00303C06">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5FB6BED3" w14:textId="5CE0A364" w:rsidR="00303C06" w:rsidRDefault="00303C06"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6.7 points</w:t>
            </w:r>
          </w:p>
        </w:tc>
      </w:tr>
      <w:tr w:rsidR="00303C06" w14:paraId="58B6D0D1" w14:textId="77777777" w:rsidTr="2EABC95F">
        <w:tc>
          <w:tcPr>
            <w:tcW w:w="7020" w:type="dxa"/>
            <w:shd w:val="clear" w:color="auto" w:fill="auto"/>
          </w:tcPr>
          <w:p w14:paraId="0AEF240E" w14:textId="4D60091D" w:rsidR="00303C06" w:rsidRDefault="00303C06" w:rsidP="00303C06">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rPr>
              <w:t>The LEA was two revisions or more above the average on at least one program</w:t>
            </w:r>
          </w:p>
        </w:tc>
        <w:tc>
          <w:tcPr>
            <w:tcW w:w="1018" w:type="dxa"/>
            <w:shd w:val="clear" w:color="auto" w:fill="FFFFFF" w:themeFill="background1"/>
          </w:tcPr>
          <w:p w14:paraId="1346E98E" w14:textId="40EA80F2" w:rsidR="00303C06" w:rsidRDefault="00303C06" w:rsidP="00303C06">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312" w:type="dxa"/>
            <w:shd w:val="clear" w:color="auto" w:fill="auto"/>
          </w:tcPr>
          <w:p w14:paraId="227AB678" w14:textId="770A0388" w:rsidR="00303C06" w:rsidRDefault="00303C06"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10 points</w:t>
            </w:r>
          </w:p>
        </w:tc>
      </w:tr>
      <w:tr w:rsidR="00303C06" w14:paraId="24E82B69" w14:textId="77777777" w:rsidTr="2EABC95F">
        <w:tc>
          <w:tcPr>
            <w:tcW w:w="9350" w:type="dxa"/>
            <w:gridSpan w:val="3"/>
            <w:shd w:val="clear" w:color="auto" w:fill="2E74B5" w:themeFill="accent1" w:themeFillShade="BF"/>
          </w:tcPr>
          <w:p w14:paraId="4BFF86EE" w14:textId="77777777" w:rsidR="00303C06" w:rsidRPr="00036B6B" w:rsidRDefault="00303C06" w:rsidP="00303C06">
            <w:pPr>
              <w:pStyle w:val="ListParagraph"/>
              <w:rPr>
                <w:b/>
                <w:sz w:val="24"/>
              </w:rPr>
            </w:pPr>
          </w:p>
        </w:tc>
      </w:tr>
      <w:tr w:rsidR="00303C06" w14:paraId="1846A0CB" w14:textId="77777777" w:rsidTr="2EABC95F">
        <w:tc>
          <w:tcPr>
            <w:tcW w:w="9350" w:type="dxa"/>
            <w:gridSpan w:val="3"/>
            <w:tcBorders>
              <w:bottom w:val="nil"/>
            </w:tcBorders>
          </w:tcPr>
          <w:p w14:paraId="327B87E8" w14:textId="54405D85" w:rsidR="00303C06" w:rsidRPr="00363018" w:rsidRDefault="00303C06" w:rsidP="00303C06">
            <w:pPr>
              <w:pStyle w:val="ListParagraph"/>
              <w:numPr>
                <w:ilvl w:val="0"/>
                <w:numId w:val="3"/>
              </w:numPr>
              <w:rPr>
                <w:b/>
                <w:sz w:val="24"/>
              </w:rPr>
            </w:pPr>
            <w:r w:rsidRPr="00036B6B">
              <w:rPr>
                <w:b/>
                <w:sz w:val="24"/>
              </w:rPr>
              <w:t xml:space="preserve">Late grant application </w:t>
            </w:r>
            <w:r w:rsidRPr="00363018">
              <w:rPr>
                <w:sz w:val="24"/>
              </w:rPr>
              <w:t>(across all programs)</w:t>
            </w:r>
          </w:p>
          <w:p w14:paraId="481993C4" w14:textId="723C8915" w:rsidR="00303C06" w:rsidRPr="0081128B" w:rsidRDefault="00303C06" w:rsidP="00303C06">
            <w:pPr>
              <w:pStyle w:val="psection-1"/>
              <w:spacing w:before="150" w:beforeAutospacing="0" w:after="150" w:afterAutospacing="0"/>
              <w:rPr>
                <w:rFonts w:asciiTheme="minorHAnsi" w:hAnsiTheme="minorHAnsi" w:cstheme="minorHAnsi"/>
                <w:sz w:val="22"/>
                <w:szCs w:val="22"/>
              </w:rPr>
            </w:pPr>
            <w:r w:rsidRPr="0081128B">
              <w:rPr>
                <w:rFonts w:asciiTheme="minorHAnsi" w:hAnsiTheme="minorHAnsi" w:cstheme="minorHAnsi"/>
                <w:sz w:val="22"/>
              </w:rPr>
              <w:t>Dat</w:t>
            </w:r>
            <w:r>
              <w:rPr>
                <w:rFonts w:asciiTheme="minorHAnsi" w:hAnsiTheme="minorHAnsi" w:cstheme="minorHAnsi"/>
                <w:sz w:val="22"/>
              </w:rPr>
              <w:t xml:space="preserve">a Source:  EWEG </w:t>
            </w:r>
          </w:p>
        </w:tc>
      </w:tr>
      <w:tr w:rsidR="00080BF2" w14:paraId="6190B13F" w14:textId="77777777" w:rsidTr="2EABC95F">
        <w:tc>
          <w:tcPr>
            <w:tcW w:w="7020" w:type="dxa"/>
            <w:tcBorders>
              <w:top w:val="nil"/>
            </w:tcBorders>
          </w:tcPr>
          <w:p w14:paraId="0F2FF53E" w14:textId="77777777" w:rsidR="00080BF2" w:rsidRDefault="00080BF2" w:rsidP="0006090E">
            <w:pPr>
              <w:pStyle w:val="psection-1"/>
              <w:spacing w:before="0" w:beforeAutospacing="0" w:after="0" w:afterAutospacing="0"/>
              <w:rPr>
                <w:rFonts w:asciiTheme="minorHAnsi" w:hAnsiTheme="minorHAnsi" w:cstheme="minorHAnsi"/>
                <w:sz w:val="22"/>
              </w:rPr>
            </w:pPr>
          </w:p>
        </w:tc>
        <w:tc>
          <w:tcPr>
            <w:tcW w:w="1018" w:type="dxa"/>
            <w:shd w:val="clear" w:color="auto" w:fill="DEEAF6" w:themeFill="accent1" w:themeFillTint="33"/>
          </w:tcPr>
          <w:p w14:paraId="3DE000CC" w14:textId="716039FB" w:rsidR="00080BF2" w:rsidRDefault="00080BF2" w:rsidP="0006090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558B7191" w14:textId="50419D74"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06090E" w14:paraId="0AA315D9" w14:textId="77777777" w:rsidTr="2EABC95F">
        <w:tc>
          <w:tcPr>
            <w:tcW w:w="7020" w:type="dxa"/>
          </w:tcPr>
          <w:p w14:paraId="6893565F" w14:textId="5A96CA08" w:rsidR="0006090E" w:rsidRPr="0081128B" w:rsidRDefault="0006090E" w:rsidP="0006090E">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rPr>
              <w:t>The LEA submitted</w:t>
            </w:r>
            <w:r w:rsidRPr="0081128B">
              <w:rPr>
                <w:rFonts w:asciiTheme="minorHAnsi" w:hAnsiTheme="minorHAnsi" w:cstheme="minorHAnsi"/>
                <w:sz w:val="22"/>
              </w:rPr>
              <w:t xml:space="preserve"> </w:t>
            </w:r>
            <w:r w:rsidR="008B193B">
              <w:rPr>
                <w:rFonts w:asciiTheme="minorHAnsi" w:hAnsiTheme="minorHAnsi" w:cstheme="minorHAnsi"/>
                <w:sz w:val="22"/>
              </w:rPr>
              <w:t xml:space="preserve">all grant </w:t>
            </w:r>
            <w:r w:rsidRPr="0081128B">
              <w:rPr>
                <w:rFonts w:asciiTheme="minorHAnsi" w:hAnsiTheme="minorHAnsi" w:cstheme="minorHAnsi"/>
                <w:sz w:val="22"/>
              </w:rPr>
              <w:t>app</w:t>
            </w:r>
            <w:r>
              <w:rPr>
                <w:rFonts w:asciiTheme="minorHAnsi" w:hAnsiTheme="minorHAnsi" w:cstheme="minorHAnsi"/>
                <w:sz w:val="22"/>
              </w:rPr>
              <w:t>lication(s) by the due date for all programs</w:t>
            </w:r>
          </w:p>
        </w:tc>
        <w:tc>
          <w:tcPr>
            <w:tcW w:w="1018" w:type="dxa"/>
            <w:shd w:val="clear" w:color="auto" w:fill="FFFFFF" w:themeFill="background1"/>
          </w:tcPr>
          <w:p w14:paraId="119DF803" w14:textId="1520F03B"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7765776A" w14:textId="5C21A403"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06090E" w14:paraId="01D4EEA6" w14:textId="77777777" w:rsidTr="2EABC95F">
        <w:tc>
          <w:tcPr>
            <w:tcW w:w="7020" w:type="dxa"/>
          </w:tcPr>
          <w:p w14:paraId="2D89CE85" w14:textId="65D17B1B" w:rsidR="0006090E" w:rsidRPr="0081128B" w:rsidRDefault="0006090E" w:rsidP="0006090E">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 xml:space="preserve">The </w:t>
            </w:r>
            <w:r>
              <w:rPr>
                <w:rFonts w:asciiTheme="minorHAnsi" w:hAnsiTheme="minorHAnsi" w:cstheme="minorHAnsi"/>
                <w:sz w:val="22"/>
              </w:rPr>
              <w:t xml:space="preserve">LEA submitted one program </w:t>
            </w:r>
            <w:r w:rsidR="008B193B">
              <w:rPr>
                <w:rFonts w:asciiTheme="minorHAnsi" w:hAnsiTheme="minorHAnsi" w:cstheme="minorHAnsi"/>
                <w:sz w:val="22"/>
              </w:rPr>
              <w:t xml:space="preserve">grant </w:t>
            </w:r>
            <w:r w:rsidRPr="0081128B">
              <w:rPr>
                <w:rFonts w:asciiTheme="minorHAnsi" w:hAnsiTheme="minorHAnsi" w:cstheme="minorHAnsi"/>
                <w:sz w:val="22"/>
              </w:rPr>
              <w:t>application after the due date</w:t>
            </w:r>
            <w:r>
              <w:rPr>
                <w:rFonts w:asciiTheme="minorHAnsi" w:hAnsiTheme="minorHAnsi" w:cstheme="minorHAnsi"/>
                <w:sz w:val="22"/>
              </w:rPr>
              <w:t xml:space="preserve"> </w:t>
            </w:r>
          </w:p>
        </w:tc>
        <w:tc>
          <w:tcPr>
            <w:tcW w:w="1018" w:type="dxa"/>
            <w:shd w:val="clear" w:color="auto" w:fill="FFFFFF" w:themeFill="background1"/>
          </w:tcPr>
          <w:p w14:paraId="5E234410" w14:textId="2BACC840"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1AC48FFF" w14:textId="0D02659B"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 points</w:t>
            </w:r>
          </w:p>
        </w:tc>
      </w:tr>
      <w:tr w:rsidR="0006090E" w14:paraId="7DFDA7CE" w14:textId="77777777" w:rsidTr="2EABC95F">
        <w:tc>
          <w:tcPr>
            <w:tcW w:w="7020" w:type="dxa"/>
            <w:shd w:val="clear" w:color="auto" w:fill="auto"/>
          </w:tcPr>
          <w:p w14:paraId="0908759E" w14:textId="306CB1B9" w:rsidR="0006090E" w:rsidRDefault="0006090E" w:rsidP="0006090E">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 xml:space="preserve">The </w:t>
            </w:r>
            <w:r>
              <w:rPr>
                <w:rFonts w:asciiTheme="minorHAnsi" w:hAnsiTheme="minorHAnsi" w:cstheme="minorHAnsi"/>
                <w:sz w:val="22"/>
              </w:rPr>
              <w:t xml:space="preserve">LEA submitted two or more program </w:t>
            </w:r>
            <w:r w:rsidR="008B193B">
              <w:rPr>
                <w:rFonts w:asciiTheme="minorHAnsi" w:hAnsiTheme="minorHAnsi" w:cstheme="minorHAnsi"/>
                <w:sz w:val="22"/>
              </w:rPr>
              <w:t xml:space="preserve">grant </w:t>
            </w:r>
            <w:r w:rsidRPr="0081128B">
              <w:rPr>
                <w:rFonts w:asciiTheme="minorHAnsi" w:hAnsiTheme="minorHAnsi" w:cstheme="minorHAnsi"/>
                <w:sz w:val="22"/>
              </w:rPr>
              <w:t>application</w:t>
            </w:r>
            <w:r>
              <w:rPr>
                <w:rFonts w:asciiTheme="minorHAnsi" w:hAnsiTheme="minorHAnsi" w:cstheme="minorHAnsi"/>
                <w:sz w:val="22"/>
              </w:rPr>
              <w:t>s</w:t>
            </w:r>
            <w:r w:rsidRPr="0081128B">
              <w:rPr>
                <w:rFonts w:asciiTheme="minorHAnsi" w:hAnsiTheme="minorHAnsi" w:cstheme="minorHAnsi"/>
                <w:sz w:val="22"/>
              </w:rPr>
              <w:t xml:space="preserve"> after the due date</w:t>
            </w:r>
          </w:p>
        </w:tc>
        <w:tc>
          <w:tcPr>
            <w:tcW w:w="1018" w:type="dxa"/>
            <w:shd w:val="clear" w:color="auto" w:fill="FFFFFF" w:themeFill="background1"/>
          </w:tcPr>
          <w:p w14:paraId="65FEB086" w14:textId="1E8AF74C"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shd w:val="clear" w:color="auto" w:fill="auto"/>
          </w:tcPr>
          <w:p w14:paraId="2494DD61" w14:textId="2309347F" w:rsidR="0006090E" w:rsidRDefault="0006090E"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10 points</w:t>
            </w:r>
          </w:p>
        </w:tc>
      </w:tr>
    </w:tbl>
    <w:p w14:paraId="5BD321BD" w14:textId="52C6FEC0" w:rsidR="00286C4E" w:rsidRDefault="00286C4E"/>
    <w:tbl>
      <w:tblPr>
        <w:tblStyle w:val="TableGrid"/>
        <w:tblW w:w="9350" w:type="dxa"/>
        <w:tblLook w:val="04A0" w:firstRow="1" w:lastRow="0" w:firstColumn="1" w:lastColumn="0" w:noHBand="0" w:noVBand="1"/>
      </w:tblPr>
      <w:tblGrid>
        <w:gridCol w:w="7020"/>
        <w:gridCol w:w="1018"/>
        <w:gridCol w:w="1312"/>
      </w:tblGrid>
      <w:tr w:rsidR="0006090E" w14:paraId="1DE583D7" w14:textId="77777777" w:rsidTr="69816609">
        <w:tc>
          <w:tcPr>
            <w:tcW w:w="9350" w:type="dxa"/>
            <w:gridSpan w:val="3"/>
            <w:shd w:val="clear" w:color="auto" w:fill="2E74B5" w:themeFill="accent1" w:themeFillShade="BF"/>
          </w:tcPr>
          <w:p w14:paraId="3DA92B0E" w14:textId="592E2F22" w:rsidR="0006090E" w:rsidRDefault="0006090E" w:rsidP="0006090E">
            <w:pPr>
              <w:pStyle w:val="psection-1"/>
              <w:spacing w:before="0" w:beforeAutospacing="0" w:after="0" w:afterAutospacing="0"/>
              <w:rPr>
                <w:rFonts w:asciiTheme="minorHAnsi" w:hAnsiTheme="minorHAnsi" w:cstheme="minorHAnsi"/>
                <w:sz w:val="22"/>
                <w:szCs w:val="22"/>
              </w:rPr>
            </w:pPr>
          </w:p>
        </w:tc>
      </w:tr>
      <w:tr w:rsidR="0006090E" w14:paraId="3ED10278" w14:textId="77777777" w:rsidTr="69816609">
        <w:tc>
          <w:tcPr>
            <w:tcW w:w="9350" w:type="dxa"/>
            <w:gridSpan w:val="3"/>
            <w:tcBorders>
              <w:bottom w:val="nil"/>
            </w:tcBorders>
          </w:tcPr>
          <w:p w14:paraId="4ABC9B9E" w14:textId="6EC9F6C3" w:rsidR="0006090E" w:rsidRPr="00036B6B" w:rsidRDefault="0006090E" w:rsidP="0006090E">
            <w:pPr>
              <w:pStyle w:val="ListParagraph"/>
              <w:numPr>
                <w:ilvl w:val="0"/>
                <w:numId w:val="3"/>
              </w:numPr>
              <w:rPr>
                <w:b/>
                <w:sz w:val="24"/>
              </w:rPr>
            </w:pPr>
            <w:r w:rsidRPr="00036B6B">
              <w:rPr>
                <w:b/>
                <w:sz w:val="24"/>
              </w:rPr>
              <w:t>Late final report submission (across all programs)</w:t>
            </w:r>
          </w:p>
          <w:p w14:paraId="746E1964" w14:textId="5D18596C" w:rsidR="0006090E" w:rsidRPr="0081128B" w:rsidRDefault="0006090E" w:rsidP="0006090E">
            <w:pPr>
              <w:pStyle w:val="psection-1"/>
              <w:spacing w:before="150" w:beforeAutospacing="0" w:after="150" w:afterAutospacing="0"/>
              <w:rPr>
                <w:rFonts w:asciiTheme="minorHAnsi" w:hAnsiTheme="minorHAnsi" w:cstheme="minorHAnsi"/>
                <w:sz w:val="22"/>
                <w:szCs w:val="22"/>
              </w:rPr>
            </w:pPr>
            <w:r w:rsidRPr="0081128B">
              <w:rPr>
                <w:rFonts w:asciiTheme="minorHAnsi" w:hAnsiTheme="minorHAnsi" w:cstheme="minorHAnsi"/>
                <w:sz w:val="22"/>
              </w:rPr>
              <w:t>Dat</w:t>
            </w:r>
            <w:r>
              <w:rPr>
                <w:rFonts w:asciiTheme="minorHAnsi" w:hAnsiTheme="minorHAnsi" w:cstheme="minorHAnsi"/>
                <w:sz w:val="22"/>
              </w:rPr>
              <w:t>a Source:  EWEG</w:t>
            </w:r>
          </w:p>
        </w:tc>
      </w:tr>
      <w:tr w:rsidR="00080BF2" w14:paraId="1D501DE2" w14:textId="77777777" w:rsidTr="69816609">
        <w:tc>
          <w:tcPr>
            <w:tcW w:w="7020" w:type="dxa"/>
            <w:tcBorders>
              <w:top w:val="nil"/>
            </w:tcBorders>
          </w:tcPr>
          <w:p w14:paraId="034F9291" w14:textId="77777777" w:rsidR="00080BF2" w:rsidRPr="0081128B" w:rsidRDefault="00080BF2" w:rsidP="008B193B">
            <w:pPr>
              <w:pStyle w:val="psection-1"/>
              <w:spacing w:before="0" w:beforeAutospacing="0" w:after="0" w:afterAutospacing="0"/>
              <w:rPr>
                <w:rFonts w:asciiTheme="minorHAnsi" w:hAnsiTheme="minorHAnsi" w:cstheme="minorHAnsi"/>
                <w:sz w:val="22"/>
              </w:rPr>
            </w:pPr>
          </w:p>
        </w:tc>
        <w:tc>
          <w:tcPr>
            <w:tcW w:w="1018" w:type="dxa"/>
            <w:shd w:val="clear" w:color="auto" w:fill="DEEAF6" w:themeFill="accent1" w:themeFillTint="33"/>
          </w:tcPr>
          <w:p w14:paraId="1EB68857" w14:textId="2C6A4518" w:rsidR="00080BF2" w:rsidRDefault="00080BF2" w:rsidP="008B193B">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5B9925E8" w14:textId="583B249B" w:rsidR="00080BF2" w:rsidRDefault="00080BF2"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8B193B" w14:paraId="7EAEAE6E" w14:textId="77777777" w:rsidTr="69816609">
        <w:tc>
          <w:tcPr>
            <w:tcW w:w="7020" w:type="dxa"/>
          </w:tcPr>
          <w:p w14:paraId="73589A38" w14:textId="7357267F" w:rsidR="008B193B" w:rsidRPr="0081128B" w:rsidRDefault="008B193B" w:rsidP="008B193B">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 xml:space="preserve">The </w:t>
            </w:r>
            <w:r>
              <w:rPr>
                <w:rFonts w:asciiTheme="minorHAnsi" w:hAnsiTheme="minorHAnsi" w:cstheme="minorHAnsi"/>
                <w:sz w:val="22"/>
              </w:rPr>
              <w:t xml:space="preserve">LEA submitted all program final reports by the due date </w:t>
            </w:r>
          </w:p>
        </w:tc>
        <w:tc>
          <w:tcPr>
            <w:tcW w:w="1018" w:type="dxa"/>
            <w:shd w:val="clear" w:color="auto" w:fill="FFFFFF" w:themeFill="background1"/>
          </w:tcPr>
          <w:p w14:paraId="1DAB996B" w14:textId="4C7733AF" w:rsidR="008B193B" w:rsidRDefault="008B193B" w:rsidP="008B193B">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29215460" w14:textId="5E2A917C" w:rsidR="008B193B" w:rsidRDefault="008B193B"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8B193B" w14:paraId="59B80795" w14:textId="77777777" w:rsidTr="69816609">
        <w:tc>
          <w:tcPr>
            <w:tcW w:w="7020" w:type="dxa"/>
          </w:tcPr>
          <w:p w14:paraId="725B450F" w14:textId="7C39A261" w:rsidR="008B193B" w:rsidRPr="0081128B" w:rsidRDefault="008B193B" w:rsidP="004854C3">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The</w:t>
            </w:r>
            <w:r w:rsidR="004854C3">
              <w:rPr>
                <w:rFonts w:asciiTheme="minorHAnsi" w:hAnsiTheme="minorHAnsi" w:cstheme="minorHAnsi"/>
                <w:sz w:val="22"/>
              </w:rPr>
              <w:t xml:space="preserve"> LEA submitted one program</w:t>
            </w:r>
            <w:r w:rsidRPr="0081128B">
              <w:rPr>
                <w:rFonts w:asciiTheme="minorHAnsi" w:hAnsiTheme="minorHAnsi" w:cstheme="minorHAnsi"/>
                <w:sz w:val="22"/>
              </w:rPr>
              <w:t xml:space="preserve"> </w:t>
            </w:r>
            <w:r>
              <w:rPr>
                <w:rFonts w:asciiTheme="minorHAnsi" w:hAnsiTheme="minorHAnsi" w:cstheme="minorHAnsi"/>
                <w:sz w:val="22"/>
              </w:rPr>
              <w:t>final report</w:t>
            </w:r>
            <w:r w:rsidRPr="0081128B">
              <w:rPr>
                <w:rFonts w:asciiTheme="minorHAnsi" w:hAnsiTheme="minorHAnsi" w:cstheme="minorHAnsi"/>
                <w:sz w:val="22"/>
              </w:rPr>
              <w:t xml:space="preserve"> after the due date</w:t>
            </w:r>
            <w:r>
              <w:rPr>
                <w:rFonts w:asciiTheme="minorHAnsi" w:hAnsiTheme="minorHAnsi" w:cstheme="minorHAnsi"/>
                <w:sz w:val="22"/>
              </w:rPr>
              <w:t xml:space="preserve"> </w:t>
            </w:r>
          </w:p>
        </w:tc>
        <w:tc>
          <w:tcPr>
            <w:tcW w:w="1018" w:type="dxa"/>
            <w:shd w:val="clear" w:color="auto" w:fill="FFFFFF" w:themeFill="background1"/>
          </w:tcPr>
          <w:p w14:paraId="5CFFBF89" w14:textId="221C3A9C" w:rsidR="008B193B" w:rsidRDefault="008B193B" w:rsidP="008B193B">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3275512D" w14:textId="389FA047" w:rsidR="008B193B" w:rsidRDefault="008B193B"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 points</w:t>
            </w:r>
          </w:p>
        </w:tc>
      </w:tr>
      <w:tr w:rsidR="008B193B" w14:paraId="4AECDC07" w14:textId="77777777" w:rsidTr="69816609">
        <w:tc>
          <w:tcPr>
            <w:tcW w:w="7020" w:type="dxa"/>
          </w:tcPr>
          <w:p w14:paraId="0407CFFA" w14:textId="23938C57" w:rsidR="008B193B" w:rsidRDefault="004854C3" w:rsidP="008B193B">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The</w:t>
            </w:r>
            <w:r>
              <w:rPr>
                <w:rFonts w:asciiTheme="minorHAnsi" w:hAnsiTheme="minorHAnsi" w:cstheme="minorHAnsi"/>
                <w:sz w:val="22"/>
              </w:rPr>
              <w:t xml:space="preserve"> LEA submitted two or more program</w:t>
            </w:r>
            <w:r w:rsidRPr="0081128B">
              <w:rPr>
                <w:rFonts w:asciiTheme="minorHAnsi" w:hAnsiTheme="minorHAnsi" w:cstheme="minorHAnsi"/>
                <w:sz w:val="22"/>
              </w:rPr>
              <w:t xml:space="preserve"> </w:t>
            </w:r>
            <w:r>
              <w:rPr>
                <w:rFonts w:asciiTheme="minorHAnsi" w:hAnsiTheme="minorHAnsi" w:cstheme="minorHAnsi"/>
                <w:sz w:val="22"/>
              </w:rPr>
              <w:t>final reports</w:t>
            </w:r>
            <w:r w:rsidRPr="0081128B">
              <w:rPr>
                <w:rFonts w:asciiTheme="minorHAnsi" w:hAnsiTheme="minorHAnsi" w:cstheme="minorHAnsi"/>
                <w:sz w:val="22"/>
              </w:rPr>
              <w:t xml:space="preserve"> after the due date</w:t>
            </w:r>
          </w:p>
        </w:tc>
        <w:tc>
          <w:tcPr>
            <w:tcW w:w="1018" w:type="dxa"/>
            <w:shd w:val="clear" w:color="auto" w:fill="FFFFFF" w:themeFill="background1"/>
          </w:tcPr>
          <w:p w14:paraId="41605BFF" w14:textId="5ED4922B" w:rsidR="008B193B" w:rsidRDefault="008B193B" w:rsidP="008B193B">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3AC24C10" w14:textId="20EDA1CD" w:rsidR="008B193B" w:rsidRDefault="008B193B" w:rsidP="00080BF2">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10 points</w:t>
            </w:r>
          </w:p>
        </w:tc>
      </w:tr>
      <w:tr w:rsidR="0006090E" w14:paraId="732D9DA7" w14:textId="77777777" w:rsidTr="69816609">
        <w:tc>
          <w:tcPr>
            <w:tcW w:w="9350" w:type="dxa"/>
            <w:gridSpan w:val="3"/>
            <w:shd w:val="clear" w:color="auto" w:fill="2E74B5" w:themeFill="accent1" w:themeFillShade="BF"/>
          </w:tcPr>
          <w:p w14:paraId="0228D2DA" w14:textId="28B62E9D" w:rsidR="0006090E" w:rsidRDefault="0006090E" w:rsidP="0006090E">
            <w:pPr>
              <w:pStyle w:val="psection-1"/>
              <w:spacing w:before="0" w:beforeAutospacing="0" w:after="0" w:afterAutospacing="0"/>
              <w:rPr>
                <w:rFonts w:asciiTheme="minorHAnsi" w:hAnsiTheme="minorHAnsi" w:cstheme="minorHAnsi"/>
                <w:sz w:val="22"/>
                <w:szCs w:val="22"/>
              </w:rPr>
            </w:pPr>
          </w:p>
        </w:tc>
      </w:tr>
      <w:tr w:rsidR="0006090E" w14:paraId="030D8851" w14:textId="77777777" w:rsidTr="69816609">
        <w:tc>
          <w:tcPr>
            <w:tcW w:w="9350" w:type="dxa"/>
            <w:gridSpan w:val="3"/>
            <w:tcBorders>
              <w:bottom w:val="nil"/>
            </w:tcBorders>
          </w:tcPr>
          <w:p w14:paraId="3806132C" w14:textId="23A5E394" w:rsidR="0006090E" w:rsidRPr="00036B6B" w:rsidRDefault="0006090E" w:rsidP="0006090E">
            <w:pPr>
              <w:pStyle w:val="ListParagraph"/>
              <w:numPr>
                <w:ilvl w:val="0"/>
                <w:numId w:val="3"/>
              </w:numPr>
              <w:rPr>
                <w:b/>
                <w:sz w:val="24"/>
              </w:rPr>
            </w:pPr>
            <w:r w:rsidRPr="00036B6B">
              <w:rPr>
                <w:b/>
                <w:sz w:val="24"/>
              </w:rPr>
              <w:t>Late revision</w:t>
            </w:r>
            <w:r>
              <w:rPr>
                <w:b/>
                <w:sz w:val="24"/>
              </w:rPr>
              <w:t xml:space="preserve"> submission </w:t>
            </w:r>
            <w:r w:rsidRPr="004854C3">
              <w:rPr>
                <w:sz w:val="24"/>
              </w:rPr>
              <w:t>(ESEA Only)</w:t>
            </w:r>
          </w:p>
          <w:p w14:paraId="763C5172" w14:textId="1003B910" w:rsidR="0006090E" w:rsidRPr="0081128B" w:rsidRDefault="00BE5799" w:rsidP="0006090E">
            <w:pPr>
              <w:pStyle w:val="psection-1"/>
              <w:spacing w:before="150" w:beforeAutospacing="0" w:after="150" w:afterAutospacing="0"/>
              <w:rPr>
                <w:rFonts w:asciiTheme="minorHAnsi" w:hAnsiTheme="minorHAnsi" w:cstheme="minorHAnsi"/>
                <w:sz w:val="22"/>
                <w:szCs w:val="22"/>
              </w:rPr>
            </w:pPr>
            <w:r>
              <w:rPr>
                <w:rFonts w:asciiTheme="minorHAnsi" w:hAnsiTheme="minorHAnsi" w:cstheme="minorHAnsi"/>
                <w:sz w:val="22"/>
              </w:rPr>
              <w:t>Data Source:  EWEG</w:t>
            </w:r>
          </w:p>
        </w:tc>
      </w:tr>
      <w:tr w:rsidR="00082649" w14:paraId="720B6629" w14:textId="77777777" w:rsidTr="69816609">
        <w:tc>
          <w:tcPr>
            <w:tcW w:w="7020" w:type="dxa"/>
            <w:tcBorders>
              <w:top w:val="nil"/>
            </w:tcBorders>
          </w:tcPr>
          <w:p w14:paraId="579875CC" w14:textId="77777777" w:rsidR="00082649" w:rsidRDefault="00082649" w:rsidP="0006090E">
            <w:pPr>
              <w:pStyle w:val="psection-1"/>
              <w:spacing w:before="0" w:beforeAutospacing="0" w:after="0" w:afterAutospacing="0"/>
              <w:rPr>
                <w:rFonts w:asciiTheme="minorHAnsi" w:hAnsiTheme="minorHAnsi" w:cstheme="minorHAnsi"/>
                <w:sz w:val="22"/>
              </w:rPr>
            </w:pPr>
          </w:p>
        </w:tc>
        <w:tc>
          <w:tcPr>
            <w:tcW w:w="1018" w:type="dxa"/>
            <w:shd w:val="clear" w:color="auto" w:fill="DEEAF6" w:themeFill="accent1" w:themeFillTint="33"/>
          </w:tcPr>
          <w:p w14:paraId="0EEC01DB" w14:textId="06A4E460" w:rsidR="00082649" w:rsidRDefault="00082649" w:rsidP="004854C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shd w:val="clear" w:color="auto" w:fill="DEEAF6" w:themeFill="accent1" w:themeFillTint="33"/>
          </w:tcPr>
          <w:p w14:paraId="0F0FF3DF" w14:textId="2BF9A098" w:rsidR="00082649" w:rsidRDefault="00082649"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06090E" w14:paraId="6CA488FD" w14:textId="77777777" w:rsidTr="69816609">
        <w:tc>
          <w:tcPr>
            <w:tcW w:w="7020" w:type="dxa"/>
          </w:tcPr>
          <w:p w14:paraId="39332F51" w14:textId="0B80BC83" w:rsidR="0006090E" w:rsidRPr="0081128B" w:rsidRDefault="004854C3" w:rsidP="00982CC9">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rPr>
              <w:t xml:space="preserve">The LEA </w:t>
            </w:r>
            <w:r w:rsidR="00982CC9">
              <w:rPr>
                <w:rFonts w:asciiTheme="minorHAnsi" w:hAnsiTheme="minorHAnsi" w:cstheme="minorHAnsi"/>
                <w:sz w:val="22"/>
              </w:rPr>
              <w:t>needed</w:t>
            </w:r>
            <w:r>
              <w:rPr>
                <w:rFonts w:asciiTheme="minorHAnsi" w:hAnsiTheme="minorHAnsi" w:cstheme="minorHAnsi"/>
                <w:sz w:val="22"/>
              </w:rPr>
              <w:t xml:space="preserve"> n</w:t>
            </w:r>
            <w:r w:rsidR="0006090E">
              <w:rPr>
                <w:rFonts w:asciiTheme="minorHAnsi" w:hAnsiTheme="minorHAnsi" w:cstheme="minorHAnsi"/>
                <w:sz w:val="22"/>
              </w:rPr>
              <w:t xml:space="preserve">o revisions or </w:t>
            </w:r>
            <w:r w:rsidR="00982CC9">
              <w:rPr>
                <w:rFonts w:asciiTheme="minorHAnsi" w:hAnsiTheme="minorHAnsi" w:cstheme="minorHAnsi"/>
                <w:sz w:val="22"/>
              </w:rPr>
              <w:t>NJDOE received revision</w:t>
            </w:r>
            <w:r w:rsidR="00774D2D">
              <w:rPr>
                <w:rFonts w:asciiTheme="minorHAnsi" w:hAnsiTheme="minorHAnsi" w:cstheme="minorHAnsi"/>
                <w:sz w:val="22"/>
              </w:rPr>
              <w:t>s</w:t>
            </w:r>
            <w:r w:rsidR="0006090E">
              <w:rPr>
                <w:rFonts w:asciiTheme="minorHAnsi" w:hAnsiTheme="minorHAnsi" w:cstheme="minorHAnsi"/>
                <w:sz w:val="22"/>
              </w:rPr>
              <w:t xml:space="preserve"> within 45 days</w:t>
            </w:r>
            <w:r>
              <w:rPr>
                <w:rFonts w:asciiTheme="minorHAnsi" w:hAnsiTheme="minorHAnsi" w:cstheme="minorHAnsi"/>
                <w:sz w:val="22"/>
              </w:rPr>
              <w:t xml:space="preserve"> after the deadline</w:t>
            </w:r>
          </w:p>
        </w:tc>
        <w:tc>
          <w:tcPr>
            <w:tcW w:w="1018" w:type="dxa"/>
            <w:shd w:val="clear" w:color="auto" w:fill="FFFFFF" w:themeFill="background1"/>
          </w:tcPr>
          <w:p w14:paraId="3AF7E5F1" w14:textId="69409C06" w:rsidR="0006090E" w:rsidRDefault="004854C3" w:rsidP="004854C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7BAB107D" w14:textId="7ADAE7B4" w:rsidR="0006090E" w:rsidRDefault="0006090E"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06090E" w14:paraId="7692A337" w14:textId="77777777" w:rsidTr="69816609">
        <w:tc>
          <w:tcPr>
            <w:tcW w:w="7020" w:type="dxa"/>
          </w:tcPr>
          <w:p w14:paraId="52B669D0" w14:textId="0B365965" w:rsidR="0006090E" w:rsidRPr="0081128B" w:rsidRDefault="004854C3" w:rsidP="004854C3">
            <w:pPr>
              <w:pStyle w:val="psection-1"/>
              <w:spacing w:before="0" w:beforeAutospacing="0" w:after="0" w:afterAutospacing="0"/>
              <w:rPr>
                <w:rFonts w:asciiTheme="minorHAnsi" w:hAnsiTheme="minorHAnsi" w:cstheme="minorHAnsi"/>
                <w:sz w:val="22"/>
                <w:szCs w:val="22"/>
              </w:rPr>
            </w:pPr>
            <w:r>
              <w:rPr>
                <w:rFonts w:asciiTheme="minorHAnsi" w:hAnsiTheme="minorHAnsi" w:cstheme="minorHAnsi"/>
                <w:sz w:val="22"/>
              </w:rPr>
              <w:t>The LEA submitted a revision</w:t>
            </w:r>
            <w:r w:rsidR="0006090E">
              <w:rPr>
                <w:rFonts w:asciiTheme="minorHAnsi" w:hAnsiTheme="minorHAnsi" w:cstheme="minorHAnsi"/>
                <w:sz w:val="22"/>
              </w:rPr>
              <w:t xml:space="preserve"> 45 days </w:t>
            </w:r>
            <w:r>
              <w:rPr>
                <w:rFonts w:asciiTheme="minorHAnsi" w:hAnsiTheme="minorHAnsi" w:cstheme="minorHAnsi"/>
                <w:sz w:val="22"/>
              </w:rPr>
              <w:t>after the deadline</w:t>
            </w:r>
          </w:p>
        </w:tc>
        <w:tc>
          <w:tcPr>
            <w:tcW w:w="1018" w:type="dxa"/>
            <w:shd w:val="clear" w:color="auto" w:fill="FFFFFF" w:themeFill="background1"/>
          </w:tcPr>
          <w:p w14:paraId="6C99921E" w14:textId="6EAE7CBA" w:rsidR="0006090E" w:rsidRDefault="004854C3" w:rsidP="004854C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3B062A54" w14:textId="5F7BA0DE" w:rsidR="0006090E" w:rsidRDefault="0006090E"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r w:rsidR="004854C3">
              <w:rPr>
                <w:rFonts w:asciiTheme="minorHAnsi" w:hAnsiTheme="minorHAnsi" w:cstheme="minorHAnsi"/>
                <w:sz w:val="22"/>
                <w:szCs w:val="22"/>
              </w:rPr>
              <w:t>0</w:t>
            </w:r>
            <w:r>
              <w:rPr>
                <w:rFonts w:asciiTheme="minorHAnsi" w:hAnsiTheme="minorHAnsi" w:cstheme="minorHAnsi"/>
                <w:sz w:val="22"/>
                <w:szCs w:val="22"/>
              </w:rPr>
              <w:t xml:space="preserve"> point</w:t>
            </w:r>
            <w:r w:rsidR="004D7EA2">
              <w:rPr>
                <w:rFonts w:asciiTheme="minorHAnsi" w:hAnsiTheme="minorHAnsi" w:cstheme="minorHAnsi"/>
                <w:sz w:val="22"/>
                <w:szCs w:val="22"/>
              </w:rPr>
              <w:t>s</w:t>
            </w:r>
          </w:p>
        </w:tc>
      </w:tr>
      <w:tr w:rsidR="0006090E" w14:paraId="29AA6477" w14:textId="77777777" w:rsidTr="69816609">
        <w:tc>
          <w:tcPr>
            <w:tcW w:w="9350" w:type="dxa"/>
            <w:gridSpan w:val="3"/>
            <w:tcBorders>
              <w:bottom w:val="nil"/>
            </w:tcBorders>
            <w:shd w:val="clear" w:color="auto" w:fill="2E74B5" w:themeFill="accent1" w:themeFillShade="BF"/>
          </w:tcPr>
          <w:p w14:paraId="4ADA097A" w14:textId="77777777" w:rsidR="0006090E" w:rsidRDefault="0006090E" w:rsidP="0006090E">
            <w:pPr>
              <w:pStyle w:val="psection-1"/>
              <w:spacing w:before="0" w:beforeAutospacing="0" w:after="0" w:afterAutospacing="0"/>
              <w:rPr>
                <w:rFonts w:asciiTheme="minorHAnsi" w:hAnsiTheme="minorHAnsi" w:cstheme="minorHAnsi"/>
                <w:sz w:val="22"/>
                <w:szCs w:val="22"/>
              </w:rPr>
            </w:pPr>
          </w:p>
        </w:tc>
      </w:tr>
      <w:tr w:rsidR="00AD32AB" w14:paraId="3C012783" w14:textId="77777777" w:rsidTr="69816609">
        <w:tc>
          <w:tcPr>
            <w:tcW w:w="9350" w:type="dxa"/>
            <w:gridSpan w:val="3"/>
            <w:tcBorders>
              <w:top w:val="nil"/>
              <w:bottom w:val="nil"/>
            </w:tcBorders>
          </w:tcPr>
          <w:p w14:paraId="69D48C19" w14:textId="77777777" w:rsidR="00AD32AB" w:rsidRPr="00A12213" w:rsidRDefault="00AD32AB" w:rsidP="004854C3">
            <w:pPr>
              <w:pStyle w:val="ListParagraph"/>
              <w:numPr>
                <w:ilvl w:val="0"/>
                <w:numId w:val="3"/>
              </w:numPr>
              <w:rPr>
                <w:b/>
              </w:rPr>
            </w:pPr>
            <w:r w:rsidRPr="00A12213">
              <w:rPr>
                <w:b/>
                <w:sz w:val="24"/>
              </w:rPr>
              <w:t>Total amount of Federal awards</w:t>
            </w:r>
          </w:p>
          <w:p w14:paraId="675A4CA5" w14:textId="77777777" w:rsidR="00BE5799" w:rsidRDefault="00BE5799" w:rsidP="004854C3">
            <w:pPr>
              <w:pStyle w:val="psection-1"/>
              <w:spacing w:before="0" w:beforeAutospacing="0" w:after="0" w:afterAutospacing="0"/>
              <w:rPr>
                <w:rFonts w:asciiTheme="minorHAnsi" w:hAnsiTheme="minorHAnsi" w:cstheme="minorHAnsi"/>
                <w:sz w:val="22"/>
              </w:rPr>
            </w:pPr>
          </w:p>
          <w:p w14:paraId="6CF632A0" w14:textId="5A58BBEB" w:rsidR="00AD32AB" w:rsidRDefault="00AD32AB" w:rsidP="00BE5799">
            <w:pPr>
              <w:pStyle w:val="psection-1"/>
              <w:spacing w:before="0" w:beforeAutospacing="0" w:after="0" w:afterAutospacing="0"/>
              <w:rPr>
                <w:rFonts w:asciiTheme="minorHAnsi" w:hAnsiTheme="minorHAnsi" w:cstheme="minorHAnsi"/>
                <w:sz w:val="22"/>
                <w:szCs w:val="22"/>
              </w:rPr>
            </w:pPr>
            <w:r w:rsidRPr="0081128B">
              <w:rPr>
                <w:rFonts w:asciiTheme="minorHAnsi" w:hAnsiTheme="minorHAnsi" w:cstheme="minorHAnsi"/>
                <w:sz w:val="22"/>
              </w:rPr>
              <w:t>Dat</w:t>
            </w:r>
            <w:r>
              <w:rPr>
                <w:rFonts w:asciiTheme="minorHAnsi" w:hAnsiTheme="minorHAnsi" w:cstheme="minorHAnsi"/>
                <w:sz w:val="22"/>
              </w:rPr>
              <w:t>a Source:  OGM</w:t>
            </w:r>
          </w:p>
        </w:tc>
      </w:tr>
      <w:tr w:rsidR="00082649" w14:paraId="7292CB66" w14:textId="77777777" w:rsidTr="69816609">
        <w:tc>
          <w:tcPr>
            <w:tcW w:w="7020" w:type="dxa"/>
            <w:tcBorders>
              <w:top w:val="nil"/>
            </w:tcBorders>
          </w:tcPr>
          <w:p w14:paraId="73DE8F99" w14:textId="77777777" w:rsidR="00082649" w:rsidRPr="00BE5799" w:rsidRDefault="00082649" w:rsidP="00BE5799">
            <w:pPr>
              <w:pStyle w:val="psection-1"/>
              <w:spacing w:before="0" w:beforeAutospacing="0" w:after="0" w:afterAutospacing="0"/>
              <w:ind w:firstLine="720"/>
              <w:rPr>
                <w:rFonts w:asciiTheme="minorHAnsi" w:hAnsiTheme="minorHAnsi" w:cstheme="minorHAnsi"/>
                <w:color w:val="FFFFFF" w:themeColor="background1"/>
                <w:sz w:val="22"/>
                <w:szCs w:val="22"/>
                <w14:textFill>
                  <w14:noFill/>
                </w14:textFill>
              </w:rPr>
            </w:pPr>
          </w:p>
        </w:tc>
        <w:tc>
          <w:tcPr>
            <w:tcW w:w="1018" w:type="dxa"/>
            <w:tcBorders>
              <w:top w:val="single" w:sz="4" w:space="0" w:color="auto"/>
            </w:tcBorders>
            <w:shd w:val="clear" w:color="auto" w:fill="DEEAF6" w:themeFill="accent1" w:themeFillTint="33"/>
          </w:tcPr>
          <w:p w14:paraId="3C37C51E" w14:textId="723CA389" w:rsidR="00082649" w:rsidRDefault="00082649"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Category</w:t>
            </w:r>
          </w:p>
        </w:tc>
        <w:tc>
          <w:tcPr>
            <w:tcW w:w="1312" w:type="dxa"/>
            <w:tcBorders>
              <w:top w:val="single" w:sz="4" w:space="0" w:color="auto"/>
            </w:tcBorders>
            <w:shd w:val="clear" w:color="auto" w:fill="DEEAF6" w:themeFill="accent1" w:themeFillTint="33"/>
          </w:tcPr>
          <w:p w14:paraId="4291E88A" w14:textId="24CDA4C4" w:rsidR="00082649" w:rsidRDefault="00082649"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Points</w:t>
            </w:r>
          </w:p>
        </w:tc>
      </w:tr>
      <w:tr w:rsidR="0006090E" w14:paraId="48A386BF" w14:textId="77777777" w:rsidTr="69816609">
        <w:tc>
          <w:tcPr>
            <w:tcW w:w="7020" w:type="dxa"/>
          </w:tcPr>
          <w:p w14:paraId="4E664A85" w14:textId="627459FB" w:rsidR="0006090E" w:rsidRDefault="00AD32AB" w:rsidP="0006090E">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is &lt; $100,000</w:t>
            </w:r>
          </w:p>
        </w:tc>
        <w:tc>
          <w:tcPr>
            <w:tcW w:w="1018" w:type="dxa"/>
            <w:shd w:val="clear" w:color="auto" w:fill="FFFFFF" w:themeFill="background1"/>
          </w:tcPr>
          <w:p w14:paraId="4545A19D" w14:textId="4B905864"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w:t>
            </w:r>
          </w:p>
        </w:tc>
        <w:tc>
          <w:tcPr>
            <w:tcW w:w="1312" w:type="dxa"/>
          </w:tcPr>
          <w:p w14:paraId="1B55E0F3" w14:textId="4C668D1B" w:rsidR="00AD32AB"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0 points</w:t>
            </w:r>
          </w:p>
        </w:tc>
      </w:tr>
      <w:tr w:rsidR="0006090E" w14:paraId="72B8194B" w14:textId="77777777" w:rsidTr="69816609">
        <w:tc>
          <w:tcPr>
            <w:tcW w:w="7020" w:type="dxa"/>
          </w:tcPr>
          <w:p w14:paraId="0A5E2D37" w14:textId="6B0404FD" w:rsidR="0006090E" w:rsidRDefault="00AD32AB" w:rsidP="00AD32AB">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is $100,000 to $249,999</w:t>
            </w:r>
          </w:p>
        </w:tc>
        <w:tc>
          <w:tcPr>
            <w:tcW w:w="1018" w:type="dxa"/>
            <w:shd w:val="clear" w:color="auto" w:fill="FFFFFF" w:themeFill="background1"/>
          </w:tcPr>
          <w:p w14:paraId="59F9412A" w14:textId="7B9BCCD1"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312" w:type="dxa"/>
          </w:tcPr>
          <w:p w14:paraId="4A45CC36" w14:textId="1540271E"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1.7 points</w:t>
            </w:r>
          </w:p>
        </w:tc>
      </w:tr>
      <w:tr w:rsidR="0006090E" w14:paraId="6472EF3F" w14:textId="77777777" w:rsidTr="69816609">
        <w:tc>
          <w:tcPr>
            <w:tcW w:w="7020" w:type="dxa"/>
          </w:tcPr>
          <w:p w14:paraId="2AA88DFE" w14:textId="37737B98" w:rsidR="0006090E" w:rsidRDefault="00AD32AB" w:rsidP="00AD32AB">
            <w:pPr>
              <w:pStyle w:val="psection-1"/>
              <w:spacing w:before="0" w:beforeAutospacing="0" w:after="0" w:afterAutospacing="0"/>
              <w:rPr>
                <w:rFonts w:asciiTheme="minorHAnsi" w:hAnsiTheme="minorHAnsi" w:cstheme="minorHAnsi"/>
                <w:sz w:val="22"/>
              </w:rPr>
            </w:pPr>
            <w:r w:rsidRPr="00AD32AB">
              <w:rPr>
                <w:rFonts w:asciiTheme="minorHAnsi" w:hAnsiTheme="minorHAnsi" w:cstheme="minorHAnsi"/>
                <w:sz w:val="22"/>
              </w:rPr>
              <w:t xml:space="preserve">LEA total </w:t>
            </w:r>
            <w:r>
              <w:rPr>
                <w:rFonts w:asciiTheme="minorHAnsi" w:hAnsiTheme="minorHAnsi" w:cstheme="minorHAnsi"/>
                <w:sz w:val="22"/>
              </w:rPr>
              <w:t>Federal award amount is $250,000</w:t>
            </w:r>
            <w:r w:rsidRPr="00AD32AB">
              <w:rPr>
                <w:rFonts w:asciiTheme="minorHAnsi" w:hAnsiTheme="minorHAnsi" w:cstheme="minorHAnsi"/>
                <w:sz w:val="22"/>
              </w:rPr>
              <w:t xml:space="preserve"> to $</w:t>
            </w:r>
            <w:r>
              <w:rPr>
                <w:rFonts w:asciiTheme="minorHAnsi" w:hAnsiTheme="minorHAnsi" w:cstheme="minorHAnsi"/>
                <w:sz w:val="22"/>
              </w:rPr>
              <w:t>499,999</w:t>
            </w:r>
          </w:p>
        </w:tc>
        <w:tc>
          <w:tcPr>
            <w:tcW w:w="1018" w:type="dxa"/>
            <w:shd w:val="clear" w:color="auto" w:fill="FFFFFF" w:themeFill="background1"/>
          </w:tcPr>
          <w:p w14:paraId="1F5C170D" w14:textId="230D5B9F"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312" w:type="dxa"/>
          </w:tcPr>
          <w:p w14:paraId="2AED1608" w14:textId="5929695D"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3.3 points</w:t>
            </w:r>
          </w:p>
        </w:tc>
      </w:tr>
      <w:tr w:rsidR="0006090E" w14:paraId="57140029" w14:textId="77777777" w:rsidTr="69816609">
        <w:tc>
          <w:tcPr>
            <w:tcW w:w="7020" w:type="dxa"/>
          </w:tcPr>
          <w:p w14:paraId="55778ECD" w14:textId="0ED4F3C6" w:rsidR="0006090E" w:rsidRDefault="00AD32AB" w:rsidP="00AD32AB">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is $500,000 to $999,999</w:t>
            </w:r>
          </w:p>
        </w:tc>
        <w:tc>
          <w:tcPr>
            <w:tcW w:w="1018" w:type="dxa"/>
            <w:shd w:val="clear" w:color="auto" w:fill="FFFFFF" w:themeFill="background1"/>
          </w:tcPr>
          <w:p w14:paraId="66AE32F3" w14:textId="5280B99A"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312" w:type="dxa"/>
          </w:tcPr>
          <w:p w14:paraId="43E5845F" w14:textId="24BBE8DB"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 points</w:t>
            </w:r>
          </w:p>
        </w:tc>
      </w:tr>
      <w:tr w:rsidR="0006090E" w14:paraId="2D178FDF" w14:textId="77777777" w:rsidTr="69816609">
        <w:tc>
          <w:tcPr>
            <w:tcW w:w="7020" w:type="dxa"/>
          </w:tcPr>
          <w:p w14:paraId="63F26D3F" w14:textId="1756C811" w:rsidR="0006090E" w:rsidRDefault="00AD32AB" w:rsidP="00AD32AB">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is $1,000,000 to $2,999,999</w:t>
            </w:r>
          </w:p>
        </w:tc>
        <w:tc>
          <w:tcPr>
            <w:tcW w:w="1018" w:type="dxa"/>
            <w:shd w:val="clear" w:color="auto" w:fill="FFFFFF" w:themeFill="background1"/>
          </w:tcPr>
          <w:p w14:paraId="66560764" w14:textId="2F5D36CB"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4</w:t>
            </w:r>
          </w:p>
        </w:tc>
        <w:tc>
          <w:tcPr>
            <w:tcW w:w="1312" w:type="dxa"/>
          </w:tcPr>
          <w:p w14:paraId="0D666AB0" w14:textId="57E0EBC1"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6.7 points</w:t>
            </w:r>
          </w:p>
        </w:tc>
      </w:tr>
      <w:tr w:rsidR="0006090E" w14:paraId="78B67A85" w14:textId="77777777" w:rsidTr="69816609">
        <w:tc>
          <w:tcPr>
            <w:tcW w:w="7020" w:type="dxa"/>
          </w:tcPr>
          <w:p w14:paraId="7AB07BEE" w14:textId="68AA2BFA" w:rsidR="0006090E" w:rsidRDefault="00AD32AB" w:rsidP="00AD32AB">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is $3,000,000 to $4,999,999</w:t>
            </w:r>
          </w:p>
        </w:tc>
        <w:tc>
          <w:tcPr>
            <w:tcW w:w="1018" w:type="dxa"/>
            <w:shd w:val="clear" w:color="auto" w:fill="FFFFFF" w:themeFill="background1"/>
          </w:tcPr>
          <w:p w14:paraId="5F8F4595" w14:textId="260BC82A"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5</w:t>
            </w:r>
          </w:p>
        </w:tc>
        <w:tc>
          <w:tcPr>
            <w:tcW w:w="1312" w:type="dxa"/>
          </w:tcPr>
          <w:p w14:paraId="166D432B" w14:textId="6AC12EEA"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8.3 points</w:t>
            </w:r>
          </w:p>
        </w:tc>
      </w:tr>
      <w:tr w:rsidR="0006090E" w14:paraId="32FD9781" w14:textId="77777777" w:rsidTr="69816609">
        <w:tc>
          <w:tcPr>
            <w:tcW w:w="7020" w:type="dxa"/>
          </w:tcPr>
          <w:p w14:paraId="0C4B9F3A" w14:textId="08B0AD08" w:rsidR="0006090E" w:rsidRDefault="00AD32AB" w:rsidP="0006090E">
            <w:pPr>
              <w:pStyle w:val="psection-1"/>
              <w:spacing w:before="0" w:beforeAutospacing="0" w:after="0" w:afterAutospacing="0"/>
              <w:rPr>
                <w:rFonts w:asciiTheme="minorHAnsi" w:hAnsiTheme="minorHAnsi" w:cstheme="minorHAnsi"/>
                <w:sz w:val="22"/>
              </w:rPr>
            </w:pPr>
            <w:r>
              <w:rPr>
                <w:rFonts w:asciiTheme="minorHAnsi" w:hAnsiTheme="minorHAnsi" w:cstheme="minorHAnsi"/>
                <w:sz w:val="22"/>
                <w:szCs w:val="22"/>
              </w:rPr>
              <w:t>LEA total Federal award amount &gt; $5,000,000</w:t>
            </w:r>
          </w:p>
        </w:tc>
        <w:tc>
          <w:tcPr>
            <w:tcW w:w="1018" w:type="dxa"/>
            <w:shd w:val="clear" w:color="auto" w:fill="FFFFFF" w:themeFill="background1"/>
          </w:tcPr>
          <w:p w14:paraId="4C2832B6" w14:textId="2D0AB280" w:rsidR="0006090E" w:rsidRDefault="00AD32AB" w:rsidP="00710253">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6</w:t>
            </w:r>
          </w:p>
        </w:tc>
        <w:tc>
          <w:tcPr>
            <w:tcW w:w="1312" w:type="dxa"/>
          </w:tcPr>
          <w:p w14:paraId="3D2E4443" w14:textId="1031C51E" w:rsidR="0006090E" w:rsidRDefault="00AD32AB" w:rsidP="00082649">
            <w:pPr>
              <w:pStyle w:val="psection-1"/>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10 points</w:t>
            </w:r>
          </w:p>
        </w:tc>
      </w:tr>
      <w:tr w:rsidR="00AD32AB" w14:paraId="0DC1631A" w14:textId="77777777" w:rsidTr="69816609">
        <w:tc>
          <w:tcPr>
            <w:tcW w:w="9350" w:type="dxa"/>
            <w:gridSpan w:val="3"/>
            <w:shd w:val="clear" w:color="auto" w:fill="2E74B5" w:themeFill="accent1" w:themeFillShade="BF"/>
          </w:tcPr>
          <w:p w14:paraId="3251F8C5" w14:textId="197EF65F" w:rsidR="00AD32AB" w:rsidRDefault="00AD32AB" w:rsidP="0006090E">
            <w:pPr>
              <w:pStyle w:val="psection-1"/>
              <w:spacing w:before="0" w:beforeAutospacing="0" w:after="0" w:afterAutospacing="0"/>
              <w:rPr>
                <w:rFonts w:asciiTheme="minorHAnsi" w:hAnsiTheme="minorHAnsi" w:cstheme="minorHAnsi"/>
                <w:sz w:val="22"/>
                <w:szCs w:val="22"/>
              </w:rPr>
            </w:pPr>
          </w:p>
        </w:tc>
      </w:tr>
      <w:tr w:rsidR="00513183" w14:paraId="04FC3A31" w14:textId="77777777" w:rsidTr="69816609">
        <w:tc>
          <w:tcPr>
            <w:tcW w:w="9350" w:type="dxa"/>
            <w:gridSpan w:val="3"/>
            <w:shd w:val="clear" w:color="auto" w:fill="DEEAF6" w:themeFill="accent1" w:themeFillTint="33"/>
          </w:tcPr>
          <w:p w14:paraId="61AB5582" w14:textId="183C62D9" w:rsidR="00513183" w:rsidRDefault="00513183" w:rsidP="0006090E">
            <w:pPr>
              <w:pStyle w:val="psection-1"/>
              <w:spacing w:before="0" w:beforeAutospacing="0" w:after="0" w:afterAutospacing="0"/>
              <w:jc w:val="center"/>
              <w:rPr>
                <w:rFonts w:asciiTheme="minorHAnsi" w:hAnsiTheme="minorHAnsi" w:cstheme="minorHAnsi"/>
                <w:b/>
                <w:szCs w:val="22"/>
              </w:rPr>
            </w:pPr>
            <w:r>
              <w:rPr>
                <w:rFonts w:asciiTheme="minorHAnsi" w:hAnsiTheme="minorHAnsi" w:cstheme="minorHAnsi"/>
                <w:b/>
                <w:szCs w:val="22"/>
              </w:rPr>
              <w:t>District Monitoring Scale Score Construction</w:t>
            </w:r>
          </w:p>
        </w:tc>
      </w:tr>
      <w:tr w:rsidR="00513183" w14:paraId="6998378F" w14:textId="77777777" w:rsidTr="69816609">
        <w:tc>
          <w:tcPr>
            <w:tcW w:w="9350" w:type="dxa"/>
            <w:gridSpan w:val="3"/>
            <w:shd w:val="clear" w:color="auto" w:fill="auto"/>
          </w:tcPr>
          <w:p w14:paraId="10FDBDD8" w14:textId="038E2863" w:rsidR="00513183" w:rsidRDefault="348213CB" w:rsidP="7BD66604">
            <w:pPr>
              <w:pStyle w:val="psection-1"/>
              <w:spacing w:before="0" w:beforeAutospacing="0" w:after="0" w:afterAutospacing="0"/>
              <w:rPr>
                <w:rFonts w:asciiTheme="minorHAnsi" w:hAnsiTheme="minorHAnsi" w:cstheme="minorBidi"/>
                <w:b/>
                <w:bCs/>
              </w:rPr>
            </w:pPr>
            <w:r w:rsidRPr="7BD66604">
              <w:rPr>
                <w:rFonts w:asciiTheme="minorHAnsi" w:hAnsiTheme="minorHAnsi" w:cstheme="minorBidi"/>
                <w:b/>
                <w:bCs/>
              </w:rPr>
              <w:t xml:space="preserve">A district’s score on 11 indicators will be summed.  Districts may not have a score on all 11 indicators.  (For example, not all districts have a high school so they may not have a score on Indicator 3 – Graduation Rate.) </w:t>
            </w:r>
            <w:r w:rsidR="76AFF2A2" w:rsidRPr="7BD66604">
              <w:rPr>
                <w:rFonts w:asciiTheme="minorHAnsi" w:hAnsiTheme="minorHAnsi" w:cstheme="minorBidi"/>
                <w:b/>
                <w:bCs/>
              </w:rPr>
              <w:t xml:space="preserve"> </w:t>
            </w:r>
            <w:r w:rsidRPr="7BD66604">
              <w:rPr>
                <w:rFonts w:asciiTheme="minorHAnsi" w:hAnsiTheme="minorHAnsi" w:cstheme="minorBidi"/>
                <w:b/>
                <w:bCs/>
              </w:rPr>
              <w:t>Districts will need to have scores on 8 or more indicators to be included.  To adjust for variation in the number of scales a district has</w:t>
            </w:r>
            <w:r w:rsidR="5EDDDD65" w:rsidRPr="7BD66604">
              <w:rPr>
                <w:rFonts w:asciiTheme="minorHAnsi" w:hAnsiTheme="minorHAnsi" w:cstheme="minorBidi"/>
                <w:b/>
                <w:bCs/>
              </w:rPr>
              <w:t xml:space="preserve"> a</w:t>
            </w:r>
            <w:r w:rsidRPr="7BD66604">
              <w:rPr>
                <w:rFonts w:asciiTheme="minorHAnsi" w:hAnsiTheme="minorHAnsi" w:cstheme="minorBidi"/>
                <w:b/>
                <w:bCs/>
              </w:rPr>
              <w:t xml:space="preserve"> score on, the sum of all indicators is divided by the </w:t>
            </w:r>
            <w:r w:rsidR="03F78C07" w:rsidRPr="7BD66604">
              <w:rPr>
                <w:rFonts w:asciiTheme="minorHAnsi" w:hAnsiTheme="minorHAnsi" w:cstheme="minorBidi"/>
                <w:b/>
                <w:bCs/>
              </w:rPr>
              <w:t>maximum number of points a district may have.</w:t>
            </w:r>
            <w:r w:rsidRPr="7BD66604">
              <w:rPr>
                <w:rFonts w:asciiTheme="minorHAnsi" w:hAnsiTheme="minorHAnsi" w:cstheme="minorBidi"/>
                <w:b/>
                <w:bCs/>
              </w:rPr>
              <w:t xml:space="preserve"> </w:t>
            </w:r>
            <w:r w:rsidR="66A35B11" w:rsidRPr="7BD66604">
              <w:rPr>
                <w:rFonts w:asciiTheme="minorHAnsi" w:hAnsiTheme="minorHAnsi" w:cstheme="minorBidi"/>
                <w:b/>
                <w:bCs/>
              </w:rPr>
              <w:t xml:space="preserve"> </w:t>
            </w:r>
            <w:r w:rsidR="03F78C07" w:rsidRPr="7BD66604">
              <w:rPr>
                <w:rFonts w:asciiTheme="minorHAnsi" w:hAnsiTheme="minorHAnsi" w:cstheme="minorBidi"/>
                <w:b/>
                <w:bCs/>
              </w:rPr>
              <w:t xml:space="preserve">This </w:t>
            </w:r>
            <w:r w:rsidRPr="7BD66604">
              <w:rPr>
                <w:rFonts w:asciiTheme="minorHAnsi" w:hAnsiTheme="minorHAnsi" w:cstheme="minorBidi"/>
                <w:b/>
                <w:bCs/>
              </w:rPr>
              <w:t>create</w:t>
            </w:r>
            <w:r w:rsidR="03F78C07" w:rsidRPr="7BD66604">
              <w:rPr>
                <w:rFonts w:asciiTheme="minorHAnsi" w:hAnsiTheme="minorHAnsi" w:cstheme="minorBidi"/>
                <w:b/>
                <w:bCs/>
              </w:rPr>
              <w:t>s</w:t>
            </w:r>
            <w:r w:rsidRPr="7BD66604">
              <w:rPr>
                <w:rFonts w:asciiTheme="minorHAnsi" w:hAnsiTheme="minorHAnsi" w:cstheme="minorBidi"/>
                <w:b/>
                <w:bCs/>
              </w:rPr>
              <w:t xml:space="preserve"> the district’s final Monitoring Scale Score</w:t>
            </w:r>
            <w:r w:rsidR="0384BEA6" w:rsidRPr="7BD66604">
              <w:rPr>
                <w:rFonts w:asciiTheme="minorHAnsi" w:hAnsiTheme="minorHAnsi" w:cstheme="minorBidi"/>
                <w:b/>
                <w:bCs/>
              </w:rPr>
              <w:t>,</w:t>
            </w:r>
            <w:r w:rsidR="03F78C07" w:rsidRPr="7BD66604">
              <w:rPr>
                <w:rFonts w:asciiTheme="minorHAnsi" w:hAnsiTheme="minorHAnsi" w:cstheme="minorBidi"/>
                <w:b/>
                <w:bCs/>
              </w:rPr>
              <w:t xml:space="preserve"> which can be interpreted as a percentage </w:t>
            </w:r>
            <w:r w:rsidR="0864A65F" w:rsidRPr="7BD66604">
              <w:rPr>
                <w:rFonts w:asciiTheme="minorHAnsi" w:hAnsiTheme="minorHAnsi" w:cstheme="minorBidi"/>
                <w:b/>
                <w:bCs/>
              </w:rPr>
              <w:t xml:space="preserve">of possible points </w:t>
            </w:r>
            <w:r w:rsidR="03F78C07" w:rsidRPr="7BD66604">
              <w:rPr>
                <w:rFonts w:asciiTheme="minorHAnsi" w:hAnsiTheme="minorHAnsi" w:cstheme="minorBidi"/>
                <w:b/>
                <w:bCs/>
              </w:rPr>
              <w:t>from 0 to 100</w:t>
            </w:r>
            <w:r w:rsidRPr="7BD66604">
              <w:rPr>
                <w:rFonts w:asciiTheme="minorHAnsi" w:hAnsiTheme="minorHAnsi" w:cstheme="minorBidi"/>
                <w:b/>
                <w:bCs/>
              </w:rPr>
              <w:t>.</w:t>
            </w:r>
          </w:p>
          <w:p w14:paraId="756340A4" w14:textId="126C6F5B" w:rsidR="00513183" w:rsidRPr="00064E6A" w:rsidRDefault="348213CB">
            <w:pPr>
              <w:pStyle w:val="psection-1"/>
              <w:numPr>
                <w:ilvl w:val="0"/>
                <w:numId w:val="20"/>
              </w:numPr>
              <w:spacing w:before="0" w:beforeAutospacing="0" w:after="0" w:afterAutospacing="0"/>
              <w:rPr>
                <w:rFonts w:asciiTheme="minorHAnsi" w:eastAsiaTheme="minorEastAsia" w:hAnsiTheme="minorHAnsi" w:cstheme="minorBidi"/>
              </w:rPr>
            </w:pPr>
            <w:r w:rsidRPr="7BD66604">
              <w:rPr>
                <w:rFonts w:asciiTheme="minorHAnsi" w:hAnsiTheme="minorHAnsi" w:cstheme="minorBidi"/>
              </w:rPr>
              <w:t xml:space="preserve">If a district scores </w:t>
            </w:r>
            <w:r w:rsidR="0864A65F" w:rsidRPr="7BD66604">
              <w:rPr>
                <w:rFonts w:asciiTheme="minorHAnsi" w:hAnsiTheme="minorHAnsi" w:cstheme="minorBidi"/>
              </w:rPr>
              <w:t xml:space="preserve">a maximum of </w:t>
            </w:r>
            <w:r w:rsidRPr="7BD66604">
              <w:rPr>
                <w:rFonts w:asciiTheme="minorHAnsi" w:hAnsiTheme="minorHAnsi" w:cstheme="minorBidi"/>
              </w:rPr>
              <w:t xml:space="preserve">10 points on all </w:t>
            </w:r>
            <w:r w:rsidR="4AD175A7" w:rsidRPr="7BD66604">
              <w:rPr>
                <w:rFonts w:asciiTheme="minorHAnsi" w:hAnsiTheme="minorHAnsi" w:cstheme="minorBidi"/>
              </w:rPr>
              <w:t>8</w:t>
            </w:r>
            <w:r w:rsidRPr="7BD66604">
              <w:rPr>
                <w:rFonts w:asciiTheme="minorHAnsi" w:hAnsiTheme="minorHAnsi" w:cstheme="minorBidi"/>
              </w:rPr>
              <w:t xml:space="preserve"> </w:t>
            </w:r>
            <w:r w:rsidR="4AD175A7" w:rsidRPr="7BD66604">
              <w:rPr>
                <w:rFonts w:asciiTheme="minorHAnsi" w:hAnsiTheme="minorHAnsi" w:cstheme="minorBidi"/>
              </w:rPr>
              <w:t xml:space="preserve">fiscal </w:t>
            </w:r>
            <w:r w:rsidR="0864A65F" w:rsidRPr="7BD66604">
              <w:rPr>
                <w:rFonts w:asciiTheme="minorHAnsi" w:hAnsiTheme="minorHAnsi" w:cstheme="minorBidi"/>
              </w:rPr>
              <w:t>indicators</w:t>
            </w:r>
            <w:r w:rsidR="4AD175A7" w:rsidRPr="7BD66604">
              <w:rPr>
                <w:rFonts w:asciiTheme="minorHAnsi" w:hAnsiTheme="minorHAnsi" w:cstheme="minorBidi"/>
              </w:rPr>
              <w:t xml:space="preserve"> and </w:t>
            </w:r>
            <w:r w:rsidR="0864A65F" w:rsidRPr="7BD66604">
              <w:rPr>
                <w:rFonts w:asciiTheme="minorHAnsi" w:hAnsiTheme="minorHAnsi" w:cstheme="minorBidi"/>
              </w:rPr>
              <w:t xml:space="preserve">a maximum of </w:t>
            </w:r>
            <w:r w:rsidR="4AD175A7" w:rsidRPr="7BD66604">
              <w:rPr>
                <w:rFonts w:asciiTheme="minorHAnsi" w:hAnsiTheme="minorHAnsi" w:cstheme="minorBidi"/>
              </w:rPr>
              <w:t>5 points on all 3 academic indicators</w:t>
            </w:r>
            <w:r w:rsidRPr="7BD66604">
              <w:rPr>
                <w:rFonts w:asciiTheme="minorHAnsi" w:hAnsiTheme="minorHAnsi" w:cstheme="minorBidi"/>
              </w:rPr>
              <w:t xml:space="preserve">, the sum of all indicators is </w:t>
            </w:r>
            <w:r w:rsidR="4AD175A7" w:rsidRPr="7BD66604">
              <w:rPr>
                <w:rFonts w:asciiTheme="minorHAnsi" w:hAnsiTheme="minorHAnsi" w:cstheme="minorBidi"/>
              </w:rPr>
              <w:t>95</w:t>
            </w:r>
            <w:r w:rsidRPr="7BD66604">
              <w:rPr>
                <w:rFonts w:asciiTheme="minorHAnsi" w:hAnsiTheme="minorHAnsi" w:cstheme="minorBidi"/>
              </w:rPr>
              <w:t xml:space="preserve"> and the Monitoring Scale Score would be </w:t>
            </w:r>
            <w:r w:rsidR="4AD175A7" w:rsidRPr="7BD66604">
              <w:rPr>
                <w:rFonts w:asciiTheme="minorHAnsi" w:hAnsiTheme="minorHAnsi" w:cstheme="minorBidi"/>
              </w:rPr>
              <w:t>95</w:t>
            </w:r>
            <w:r w:rsidRPr="7BD66604">
              <w:rPr>
                <w:rFonts w:asciiTheme="minorHAnsi" w:hAnsiTheme="minorHAnsi" w:cstheme="minorBidi"/>
              </w:rPr>
              <w:t xml:space="preserve"> points/</w:t>
            </w:r>
            <w:r w:rsidR="4AD175A7" w:rsidRPr="7BD66604">
              <w:rPr>
                <w:rFonts w:asciiTheme="minorHAnsi" w:hAnsiTheme="minorHAnsi" w:cstheme="minorBidi"/>
              </w:rPr>
              <w:t>95</w:t>
            </w:r>
            <w:r w:rsidRPr="7BD66604">
              <w:rPr>
                <w:rFonts w:asciiTheme="minorHAnsi" w:hAnsiTheme="minorHAnsi" w:cstheme="minorBidi"/>
              </w:rPr>
              <w:t xml:space="preserve"> </w:t>
            </w:r>
            <w:r w:rsidR="03F78C07" w:rsidRPr="7BD66604">
              <w:rPr>
                <w:rFonts w:asciiTheme="minorHAnsi" w:hAnsiTheme="minorHAnsi" w:cstheme="minorBidi"/>
              </w:rPr>
              <w:t>possible scale points</w:t>
            </w:r>
            <w:r w:rsidR="5C148552" w:rsidRPr="7BD66604">
              <w:rPr>
                <w:rFonts w:asciiTheme="minorHAnsi" w:hAnsiTheme="minorHAnsi" w:cstheme="minorBidi"/>
              </w:rPr>
              <w:t>,</w:t>
            </w:r>
            <w:r w:rsidRPr="7BD66604">
              <w:rPr>
                <w:rFonts w:asciiTheme="minorHAnsi" w:hAnsiTheme="minorHAnsi" w:cstheme="minorBidi"/>
              </w:rPr>
              <w:t xml:space="preserve"> which would equal </w:t>
            </w:r>
            <w:r w:rsidR="03F78C07" w:rsidRPr="7BD66604">
              <w:rPr>
                <w:rFonts w:asciiTheme="minorHAnsi" w:hAnsiTheme="minorHAnsi" w:cstheme="minorBidi"/>
              </w:rPr>
              <w:t xml:space="preserve">100%. Likewise, if a district scores 10 points on </w:t>
            </w:r>
            <w:r w:rsidR="4AD175A7" w:rsidRPr="7BD66604">
              <w:rPr>
                <w:rFonts w:asciiTheme="minorHAnsi" w:hAnsiTheme="minorHAnsi" w:cstheme="minorBidi"/>
              </w:rPr>
              <w:t>7</w:t>
            </w:r>
            <w:r w:rsidR="03F78C07" w:rsidRPr="7BD66604">
              <w:rPr>
                <w:rFonts w:asciiTheme="minorHAnsi" w:hAnsiTheme="minorHAnsi" w:cstheme="minorBidi"/>
              </w:rPr>
              <w:t xml:space="preserve"> </w:t>
            </w:r>
            <w:r w:rsidR="0864A65F" w:rsidRPr="7BD66604">
              <w:rPr>
                <w:rFonts w:asciiTheme="minorHAnsi" w:hAnsiTheme="minorHAnsi" w:cstheme="minorBidi"/>
              </w:rPr>
              <w:t>fiscal indicators</w:t>
            </w:r>
            <w:r w:rsidR="03F78C07" w:rsidRPr="7BD66604">
              <w:rPr>
                <w:rFonts w:asciiTheme="minorHAnsi" w:hAnsiTheme="minorHAnsi" w:cstheme="minorBidi"/>
              </w:rPr>
              <w:t xml:space="preserve"> </w:t>
            </w:r>
            <w:r w:rsidR="4AD175A7" w:rsidRPr="7BD66604">
              <w:rPr>
                <w:rFonts w:asciiTheme="minorHAnsi" w:hAnsiTheme="minorHAnsi" w:cstheme="minorBidi"/>
              </w:rPr>
              <w:t xml:space="preserve">and 5 </w:t>
            </w:r>
            <w:r w:rsidR="0864A65F" w:rsidRPr="7BD66604">
              <w:rPr>
                <w:rFonts w:asciiTheme="minorHAnsi" w:hAnsiTheme="minorHAnsi" w:cstheme="minorBidi"/>
              </w:rPr>
              <w:t xml:space="preserve">points </w:t>
            </w:r>
            <w:r w:rsidR="4AD175A7" w:rsidRPr="7BD66604">
              <w:rPr>
                <w:rFonts w:asciiTheme="minorHAnsi" w:hAnsiTheme="minorHAnsi" w:cstheme="minorBidi"/>
              </w:rPr>
              <w:t xml:space="preserve">on 1 </w:t>
            </w:r>
            <w:r w:rsidR="0864A65F" w:rsidRPr="7BD66604">
              <w:rPr>
                <w:rFonts w:asciiTheme="minorHAnsi" w:hAnsiTheme="minorHAnsi" w:cstheme="minorBidi"/>
              </w:rPr>
              <w:t>academic indicator</w:t>
            </w:r>
            <w:r w:rsidR="4AD175A7" w:rsidRPr="7BD66604">
              <w:rPr>
                <w:rFonts w:asciiTheme="minorHAnsi" w:hAnsiTheme="minorHAnsi" w:cstheme="minorBidi"/>
              </w:rPr>
              <w:t xml:space="preserve"> </w:t>
            </w:r>
            <w:r w:rsidR="03F78C07" w:rsidRPr="7BD66604">
              <w:rPr>
                <w:rFonts w:asciiTheme="minorHAnsi" w:hAnsiTheme="minorHAnsi" w:cstheme="minorBidi"/>
              </w:rPr>
              <w:t xml:space="preserve">and does not </w:t>
            </w:r>
            <w:r w:rsidR="4AD175A7" w:rsidRPr="7BD66604">
              <w:rPr>
                <w:rFonts w:asciiTheme="minorHAnsi" w:hAnsiTheme="minorHAnsi" w:cstheme="minorBidi"/>
              </w:rPr>
              <w:t>have a score on</w:t>
            </w:r>
            <w:r w:rsidR="03F78C07" w:rsidRPr="7BD66604">
              <w:rPr>
                <w:rFonts w:asciiTheme="minorHAnsi" w:hAnsiTheme="minorHAnsi" w:cstheme="minorBidi"/>
              </w:rPr>
              <w:t xml:space="preserve"> 3 </w:t>
            </w:r>
            <w:r w:rsidR="0864A65F" w:rsidRPr="7BD66604">
              <w:rPr>
                <w:rFonts w:asciiTheme="minorHAnsi" w:hAnsiTheme="minorHAnsi" w:cstheme="minorBidi"/>
              </w:rPr>
              <w:t>indicators</w:t>
            </w:r>
            <w:r w:rsidR="03F78C07" w:rsidRPr="7BD66604">
              <w:rPr>
                <w:rFonts w:asciiTheme="minorHAnsi" w:hAnsiTheme="minorHAnsi" w:cstheme="minorBidi"/>
              </w:rPr>
              <w:t xml:space="preserve">, </w:t>
            </w:r>
            <w:r w:rsidR="6FCE8FBB" w:rsidRPr="7BD66604">
              <w:rPr>
                <w:rFonts w:asciiTheme="minorHAnsi" w:hAnsiTheme="minorHAnsi" w:cstheme="minorBidi"/>
              </w:rPr>
              <w:t xml:space="preserve">it </w:t>
            </w:r>
            <w:r w:rsidR="03F78C07" w:rsidRPr="7BD66604">
              <w:rPr>
                <w:rFonts w:asciiTheme="minorHAnsi" w:hAnsiTheme="minorHAnsi" w:cstheme="minorBidi"/>
              </w:rPr>
              <w:t xml:space="preserve">would have </w:t>
            </w:r>
            <w:r w:rsidR="4AD175A7" w:rsidRPr="7BD66604">
              <w:rPr>
                <w:rFonts w:asciiTheme="minorHAnsi" w:hAnsiTheme="minorHAnsi" w:cstheme="minorBidi"/>
              </w:rPr>
              <w:t>75</w:t>
            </w:r>
            <w:r w:rsidR="03F78C07" w:rsidRPr="7BD66604">
              <w:rPr>
                <w:rFonts w:asciiTheme="minorHAnsi" w:hAnsiTheme="minorHAnsi" w:cstheme="minorBidi"/>
              </w:rPr>
              <w:t xml:space="preserve"> points/</w:t>
            </w:r>
            <w:r w:rsidR="4AD175A7" w:rsidRPr="7BD66604">
              <w:rPr>
                <w:rFonts w:asciiTheme="minorHAnsi" w:hAnsiTheme="minorHAnsi" w:cstheme="minorBidi"/>
              </w:rPr>
              <w:t>75</w:t>
            </w:r>
            <w:r w:rsidR="03F78C07" w:rsidRPr="7BD66604">
              <w:rPr>
                <w:rFonts w:asciiTheme="minorHAnsi" w:hAnsiTheme="minorHAnsi" w:cstheme="minorBidi"/>
              </w:rPr>
              <w:t xml:space="preserve"> possible scale points for an equivalent score of 100%.</w:t>
            </w:r>
          </w:p>
          <w:p w14:paraId="39DC5893" w14:textId="7E1EBB63" w:rsidR="00F016A3" w:rsidRPr="00064E6A" w:rsidRDefault="03F78C07" w:rsidP="7BD66604">
            <w:pPr>
              <w:pStyle w:val="psection-1"/>
              <w:numPr>
                <w:ilvl w:val="0"/>
                <w:numId w:val="20"/>
              </w:numPr>
              <w:spacing w:before="0" w:beforeAutospacing="0" w:after="0" w:afterAutospacing="0"/>
              <w:rPr>
                <w:rFonts w:asciiTheme="minorHAnsi" w:hAnsiTheme="minorHAnsi" w:cstheme="minorBidi"/>
              </w:rPr>
            </w:pPr>
            <w:r w:rsidRPr="7BD66604">
              <w:rPr>
                <w:rFonts w:asciiTheme="minorHAnsi" w:hAnsiTheme="minorHAnsi" w:cstheme="minorBidi"/>
              </w:rPr>
              <w:t>If a district has a sum of 70 points on all 11 scales, the scale score is 70/</w:t>
            </w:r>
            <w:r w:rsidR="4AD175A7" w:rsidRPr="7BD66604">
              <w:rPr>
                <w:rFonts w:asciiTheme="minorHAnsi" w:hAnsiTheme="minorHAnsi" w:cstheme="minorBidi"/>
              </w:rPr>
              <w:t>95</w:t>
            </w:r>
            <w:r w:rsidRPr="7BD66604">
              <w:rPr>
                <w:rFonts w:asciiTheme="minorHAnsi" w:hAnsiTheme="minorHAnsi" w:cstheme="minorBidi"/>
              </w:rPr>
              <w:t xml:space="preserve">, or </w:t>
            </w:r>
            <w:r w:rsidR="4AD175A7" w:rsidRPr="7BD66604">
              <w:rPr>
                <w:rFonts w:asciiTheme="minorHAnsi" w:hAnsiTheme="minorHAnsi" w:cstheme="minorBidi"/>
              </w:rPr>
              <w:t>73.7</w:t>
            </w:r>
            <w:r w:rsidRPr="7BD66604">
              <w:rPr>
                <w:rFonts w:asciiTheme="minorHAnsi" w:hAnsiTheme="minorHAnsi" w:cstheme="minorBidi"/>
              </w:rPr>
              <w:t xml:space="preserve">%.  </w:t>
            </w:r>
          </w:p>
          <w:p w14:paraId="100752BA" w14:textId="749643C7" w:rsidR="00710253" w:rsidRPr="00064E6A" w:rsidRDefault="65E86BCA" w:rsidP="7BD66604">
            <w:pPr>
              <w:pStyle w:val="psection-1"/>
              <w:numPr>
                <w:ilvl w:val="0"/>
                <w:numId w:val="20"/>
              </w:numPr>
              <w:spacing w:before="0" w:beforeAutospacing="0" w:after="0" w:afterAutospacing="0"/>
              <w:rPr>
                <w:rFonts w:asciiTheme="minorHAnsi" w:hAnsiTheme="minorHAnsi" w:cstheme="minorBidi"/>
              </w:rPr>
            </w:pPr>
            <w:r w:rsidRPr="7BD66604">
              <w:rPr>
                <w:rFonts w:asciiTheme="minorHAnsi" w:hAnsiTheme="minorHAnsi" w:cstheme="minorBidi"/>
              </w:rPr>
              <w:t>Districts will be rank</w:t>
            </w:r>
            <w:r w:rsidR="0864A65F" w:rsidRPr="7BD66604">
              <w:rPr>
                <w:rFonts w:asciiTheme="minorHAnsi" w:hAnsiTheme="minorHAnsi" w:cstheme="minorBidi"/>
              </w:rPr>
              <w:t xml:space="preserve"> ordered</w:t>
            </w:r>
            <w:r w:rsidRPr="7BD66604">
              <w:rPr>
                <w:rFonts w:asciiTheme="minorHAnsi" w:hAnsiTheme="minorHAnsi" w:cstheme="minorBidi"/>
              </w:rPr>
              <w:t xml:space="preserve"> by their scale </w:t>
            </w:r>
            <w:r w:rsidR="4AD175A7" w:rsidRPr="7BD66604">
              <w:rPr>
                <w:rFonts w:asciiTheme="minorHAnsi" w:hAnsiTheme="minorHAnsi" w:cstheme="minorBidi"/>
              </w:rPr>
              <w:t xml:space="preserve">percentage </w:t>
            </w:r>
            <w:r w:rsidRPr="7BD66604">
              <w:rPr>
                <w:rFonts w:asciiTheme="minorHAnsi" w:hAnsiTheme="minorHAnsi" w:cstheme="minorBidi"/>
              </w:rPr>
              <w:t>score, from highest to lowest.  A high score indicates the worst performance on all indicators; a low score indicates the best performance on all indicators.</w:t>
            </w:r>
          </w:p>
          <w:p w14:paraId="3CC195AF" w14:textId="069C12EB" w:rsidR="00286C4E" w:rsidRPr="00082649" w:rsidRDefault="00286C4E" w:rsidP="00286C4E">
            <w:pPr>
              <w:pStyle w:val="psection-1"/>
              <w:spacing w:before="0" w:beforeAutospacing="0" w:after="0" w:afterAutospacing="0"/>
              <w:ind w:left="720"/>
              <w:rPr>
                <w:rFonts w:asciiTheme="minorHAnsi" w:hAnsiTheme="minorHAnsi" w:cstheme="minorHAnsi"/>
                <w:b/>
                <w:szCs w:val="22"/>
              </w:rPr>
            </w:pPr>
          </w:p>
        </w:tc>
      </w:tr>
      <w:tr w:rsidR="007B403E" w14:paraId="7872BA82" w14:textId="77777777" w:rsidTr="69816609">
        <w:tc>
          <w:tcPr>
            <w:tcW w:w="9350" w:type="dxa"/>
            <w:gridSpan w:val="3"/>
            <w:shd w:val="clear" w:color="auto" w:fill="BDD6EE" w:themeFill="accent1" w:themeFillTint="66"/>
          </w:tcPr>
          <w:p w14:paraId="2598F81A" w14:textId="206C6B71" w:rsidR="007B403E" w:rsidRDefault="00286C4E" w:rsidP="0006090E">
            <w:pPr>
              <w:pStyle w:val="psection-1"/>
              <w:spacing w:before="0" w:beforeAutospacing="0" w:after="0" w:afterAutospacing="0"/>
              <w:jc w:val="center"/>
              <w:rPr>
                <w:rFonts w:asciiTheme="minorHAnsi" w:hAnsiTheme="minorHAnsi" w:cstheme="minorHAnsi"/>
                <w:b/>
                <w:szCs w:val="22"/>
              </w:rPr>
            </w:pPr>
            <w:r>
              <w:br w:type="page"/>
            </w:r>
            <w:r w:rsidR="00710253">
              <w:br w:type="page"/>
            </w:r>
            <w:r w:rsidR="007B403E">
              <w:rPr>
                <w:rFonts w:asciiTheme="minorHAnsi" w:hAnsiTheme="minorHAnsi" w:cstheme="minorHAnsi"/>
                <w:b/>
                <w:szCs w:val="22"/>
              </w:rPr>
              <w:t>Determination of Intensive Support and Targeted Support Districts</w:t>
            </w:r>
          </w:p>
        </w:tc>
      </w:tr>
      <w:tr w:rsidR="007B403E" w14:paraId="57230E2F" w14:textId="77777777" w:rsidTr="69816609">
        <w:tc>
          <w:tcPr>
            <w:tcW w:w="9350" w:type="dxa"/>
            <w:gridSpan w:val="3"/>
            <w:shd w:val="clear" w:color="auto" w:fill="auto"/>
          </w:tcPr>
          <w:p w14:paraId="6FF03B4E" w14:textId="5F71F55C" w:rsidR="007B403E" w:rsidRDefault="007B403E" w:rsidP="007B403E">
            <w:pPr>
              <w:pStyle w:val="psection-1"/>
              <w:spacing w:before="0" w:beforeAutospacing="0" w:after="0" w:afterAutospacing="0"/>
              <w:rPr>
                <w:rFonts w:asciiTheme="minorHAnsi" w:hAnsiTheme="minorHAnsi" w:cstheme="minorHAnsi"/>
                <w:b/>
                <w:szCs w:val="22"/>
              </w:rPr>
            </w:pPr>
            <w:r>
              <w:rPr>
                <w:rFonts w:asciiTheme="minorHAnsi" w:hAnsiTheme="minorHAnsi" w:cstheme="minorHAnsi"/>
                <w:b/>
                <w:szCs w:val="22"/>
              </w:rPr>
              <w:t>After the districts are rank ordered by their Monitoring Scale Score, the following criteria determine the district</w:t>
            </w:r>
            <w:r w:rsidR="002C2FEB">
              <w:rPr>
                <w:rFonts w:asciiTheme="minorHAnsi" w:hAnsiTheme="minorHAnsi" w:cstheme="minorHAnsi"/>
                <w:b/>
                <w:szCs w:val="22"/>
              </w:rPr>
              <w:t>’</w:t>
            </w:r>
            <w:r>
              <w:rPr>
                <w:rFonts w:asciiTheme="minorHAnsi" w:hAnsiTheme="minorHAnsi" w:cstheme="minorHAnsi"/>
                <w:b/>
                <w:szCs w:val="22"/>
              </w:rPr>
              <w:t xml:space="preserve">s </w:t>
            </w:r>
            <w:r w:rsidR="00DC623A">
              <w:rPr>
                <w:rFonts w:asciiTheme="minorHAnsi" w:hAnsiTheme="minorHAnsi" w:cstheme="minorHAnsi"/>
                <w:b/>
                <w:szCs w:val="22"/>
              </w:rPr>
              <w:t>placement in the support tiers:</w:t>
            </w:r>
          </w:p>
          <w:p w14:paraId="041C6E90" w14:textId="606551BB" w:rsidR="007B403E" w:rsidRDefault="65E86BCA" w:rsidP="7BD66604">
            <w:pPr>
              <w:pStyle w:val="psection-1"/>
              <w:numPr>
                <w:ilvl w:val="0"/>
                <w:numId w:val="20"/>
              </w:numPr>
              <w:spacing w:before="0" w:beforeAutospacing="0" w:after="0" w:afterAutospacing="0"/>
              <w:rPr>
                <w:rFonts w:asciiTheme="minorHAnsi" w:hAnsiTheme="minorHAnsi" w:cstheme="minorBidi"/>
                <w:b/>
                <w:bCs/>
              </w:rPr>
            </w:pPr>
            <w:r w:rsidRPr="7BD66604">
              <w:rPr>
                <w:rFonts w:asciiTheme="minorHAnsi" w:hAnsiTheme="minorHAnsi" w:cstheme="minorBidi"/>
                <w:b/>
                <w:bCs/>
              </w:rPr>
              <w:t xml:space="preserve">Intensive Support – </w:t>
            </w:r>
            <w:r w:rsidRPr="7BD66604">
              <w:rPr>
                <w:rFonts w:asciiTheme="minorHAnsi" w:hAnsiTheme="minorHAnsi" w:cstheme="minorBidi"/>
              </w:rPr>
              <w:t xml:space="preserve">the districts with the top </w:t>
            </w:r>
            <w:r w:rsidR="5B3976D9" w:rsidRPr="7BD66604">
              <w:rPr>
                <w:rFonts w:asciiTheme="minorHAnsi" w:hAnsiTheme="minorHAnsi" w:cstheme="minorBidi"/>
              </w:rPr>
              <w:t>20</w:t>
            </w:r>
            <w:r w:rsidRPr="7BD66604">
              <w:rPr>
                <w:rFonts w:asciiTheme="minorHAnsi" w:hAnsiTheme="minorHAnsi" w:cstheme="minorBidi"/>
              </w:rPr>
              <w:t xml:space="preserve"> scores</w:t>
            </w:r>
          </w:p>
          <w:p w14:paraId="5BAF7CCF" w14:textId="7A56A179" w:rsidR="007B403E" w:rsidRDefault="65E86BCA" w:rsidP="7BD66604">
            <w:pPr>
              <w:pStyle w:val="psection-1"/>
              <w:numPr>
                <w:ilvl w:val="0"/>
                <w:numId w:val="20"/>
              </w:numPr>
              <w:spacing w:before="0" w:beforeAutospacing="0" w:after="0" w:afterAutospacing="0"/>
              <w:rPr>
                <w:rFonts w:asciiTheme="minorHAnsi" w:hAnsiTheme="minorHAnsi" w:cstheme="minorBidi"/>
                <w:b/>
                <w:bCs/>
              </w:rPr>
            </w:pPr>
            <w:r w:rsidRPr="7BD66604">
              <w:rPr>
                <w:rFonts w:asciiTheme="minorHAnsi" w:hAnsiTheme="minorHAnsi" w:cstheme="minorBidi"/>
                <w:b/>
                <w:bCs/>
              </w:rPr>
              <w:t xml:space="preserve">Targeted Support – </w:t>
            </w:r>
            <w:r w:rsidRPr="7BD66604">
              <w:rPr>
                <w:rFonts w:asciiTheme="minorHAnsi" w:hAnsiTheme="minorHAnsi" w:cstheme="minorBidi"/>
              </w:rPr>
              <w:t xml:space="preserve">the districts </w:t>
            </w:r>
            <w:r w:rsidR="66DAB2FF" w:rsidRPr="7BD66604">
              <w:rPr>
                <w:rFonts w:asciiTheme="minorHAnsi" w:hAnsiTheme="minorHAnsi" w:cstheme="minorBidi"/>
              </w:rPr>
              <w:t xml:space="preserve">with scores </w:t>
            </w:r>
            <w:r w:rsidRPr="7BD66604">
              <w:rPr>
                <w:rFonts w:asciiTheme="minorHAnsi" w:hAnsiTheme="minorHAnsi" w:cstheme="minorBidi"/>
              </w:rPr>
              <w:t xml:space="preserve">ranking from </w:t>
            </w:r>
            <w:r w:rsidR="5B3976D9" w:rsidRPr="7BD66604">
              <w:rPr>
                <w:rFonts w:asciiTheme="minorHAnsi" w:hAnsiTheme="minorHAnsi" w:cstheme="minorBidi"/>
              </w:rPr>
              <w:t>2</w:t>
            </w:r>
            <w:r w:rsidRPr="7BD66604">
              <w:rPr>
                <w:rFonts w:asciiTheme="minorHAnsi" w:hAnsiTheme="minorHAnsi" w:cstheme="minorBidi"/>
              </w:rPr>
              <w:t>1-120</w:t>
            </w:r>
            <w:r w:rsidR="3214C6D2" w:rsidRPr="7BD66604">
              <w:rPr>
                <w:rFonts w:asciiTheme="minorHAnsi" w:hAnsiTheme="minorHAnsi" w:cstheme="minorBidi"/>
                <w:b/>
                <w:bCs/>
              </w:rPr>
              <w:t xml:space="preserve"> </w:t>
            </w:r>
          </w:p>
          <w:p w14:paraId="77075351" w14:textId="2D87B0B4" w:rsidR="00DC623A" w:rsidRDefault="66DAB2FF" w:rsidP="7BD66604">
            <w:pPr>
              <w:pStyle w:val="psection-1"/>
              <w:numPr>
                <w:ilvl w:val="0"/>
                <w:numId w:val="20"/>
              </w:numPr>
              <w:spacing w:before="0" w:beforeAutospacing="0" w:after="0" w:afterAutospacing="0"/>
              <w:rPr>
                <w:rFonts w:asciiTheme="minorHAnsi" w:hAnsiTheme="minorHAnsi" w:cstheme="minorBidi"/>
                <w:b/>
                <w:bCs/>
              </w:rPr>
            </w:pPr>
            <w:r w:rsidRPr="7BD66604">
              <w:rPr>
                <w:rFonts w:asciiTheme="minorHAnsi" w:hAnsiTheme="minorHAnsi" w:cstheme="minorBidi"/>
                <w:b/>
                <w:bCs/>
              </w:rPr>
              <w:t xml:space="preserve">Universal Support – </w:t>
            </w:r>
            <w:r w:rsidRPr="7BD66604">
              <w:rPr>
                <w:rFonts w:asciiTheme="minorHAnsi" w:hAnsiTheme="minorHAnsi" w:cstheme="minorBidi"/>
              </w:rPr>
              <w:t>all other districts</w:t>
            </w:r>
          </w:p>
          <w:p w14:paraId="68C4574D" w14:textId="2541DDF6" w:rsidR="00710253" w:rsidRPr="00461FC3" w:rsidRDefault="0864A65F" w:rsidP="7BD66604">
            <w:pPr>
              <w:pStyle w:val="psection-1"/>
              <w:numPr>
                <w:ilvl w:val="0"/>
                <w:numId w:val="20"/>
              </w:numPr>
              <w:spacing w:before="0" w:beforeAutospacing="0" w:after="0" w:afterAutospacing="0"/>
              <w:rPr>
                <w:rFonts w:asciiTheme="minorHAnsi" w:hAnsiTheme="minorHAnsi" w:cstheme="minorBidi"/>
              </w:rPr>
            </w:pPr>
            <w:r w:rsidRPr="7BD66604">
              <w:rPr>
                <w:rFonts w:asciiTheme="minorHAnsi" w:hAnsiTheme="minorHAnsi" w:cstheme="minorBidi"/>
              </w:rPr>
              <w:t>As a last step, NJDOE will</w:t>
            </w:r>
            <w:r w:rsidR="3214C6D2" w:rsidRPr="7BD66604">
              <w:rPr>
                <w:rFonts w:asciiTheme="minorHAnsi" w:hAnsiTheme="minorHAnsi" w:cstheme="minorBidi"/>
              </w:rPr>
              <w:t xml:space="preserve"> </w:t>
            </w:r>
            <w:r w:rsidRPr="7BD66604">
              <w:rPr>
                <w:rFonts w:asciiTheme="minorHAnsi" w:hAnsiTheme="minorHAnsi" w:cstheme="minorBidi"/>
              </w:rPr>
              <w:t>move</w:t>
            </w:r>
            <w:r w:rsidR="3214C6D2" w:rsidRPr="7BD66604">
              <w:rPr>
                <w:rFonts w:asciiTheme="minorHAnsi" w:hAnsiTheme="minorHAnsi" w:cstheme="minorBidi"/>
              </w:rPr>
              <w:t xml:space="preserve"> districts in these tiers based on their past </w:t>
            </w:r>
            <w:r w:rsidR="6ED65C6C" w:rsidRPr="7BD66604">
              <w:rPr>
                <w:rFonts w:asciiTheme="minorHAnsi" w:hAnsiTheme="minorHAnsi" w:cstheme="minorBidi"/>
              </w:rPr>
              <w:t xml:space="preserve">collaborative </w:t>
            </w:r>
            <w:r w:rsidR="3214C6D2" w:rsidRPr="7BD66604">
              <w:rPr>
                <w:rFonts w:asciiTheme="minorHAnsi" w:hAnsiTheme="minorHAnsi" w:cstheme="minorBidi"/>
              </w:rPr>
              <w:t>monitoring history</w:t>
            </w:r>
            <w:r w:rsidR="6ED65C6C" w:rsidRPr="7BD66604">
              <w:rPr>
                <w:rFonts w:asciiTheme="minorHAnsi" w:hAnsiTheme="minorHAnsi" w:cstheme="minorBidi"/>
              </w:rPr>
              <w:t xml:space="preserve"> and current QSAC monitoring</w:t>
            </w:r>
            <w:r w:rsidRPr="7BD66604">
              <w:rPr>
                <w:rFonts w:asciiTheme="minorHAnsi" w:hAnsiTheme="minorHAnsi" w:cstheme="minorBidi"/>
              </w:rPr>
              <w:t xml:space="preserve"> as described in the Adjustment Variable</w:t>
            </w:r>
            <w:r w:rsidR="6ED65C6C" w:rsidRPr="7BD66604">
              <w:rPr>
                <w:rFonts w:asciiTheme="minorHAnsi" w:hAnsiTheme="minorHAnsi" w:cstheme="minorBidi"/>
              </w:rPr>
              <w:t>s</w:t>
            </w:r>
            <w:r w:rsidRPr="7BD66604">
              <w:rPr>
                <w:rFonts w:asciiTheme="minorHAnsi" w:hAnsiTheme="minorHAnsi" w:cstheme="minorBidi"/>
              </w:rPr>
              <w:t xml:space="preserve"> section below</w:t>
            </w:r>
            <w:r w:rsidR="3214C6D2" w:rsidRPr="7BD66604">
              <w:rPr>
                <w:rFonts w:asciiTheme="minorHAnsi" w:hAnsiTheme="minorHAnsi" w:cstheme="minorBidi"/>
              </w:rPr>
              <w:t>.</w:t>
            </w:r>
          </w:p>
          <w:p w14:paraId="09D8A448" w14:textId="2C5A1143" w:rsidR="00710253" w:rsidRDefault="00710253" w:rsidP="00710253">
            <w:pPr>
              <w:pStyle w:val="psection-1"/>
              <w:spacing w:before="0" w:beforeAutospacing="0" w:after="0" w:afterAutospacing="0"/>
              <w:ind w:left="720"/>
              <w:rPr>
                <w:rFonts w:asciiTheme="minorHAnsi" w:hAnsiTheme="minorHAnsi" w:cstheme="minorHAnsi"/>
                <w:b/>
                <w:szCs w:val="22"/>
              </w:rPr>
            </w:pPr>
          </w:p>
        </w:tc>
      </w:tr>
      <w:tr w:rsidR="00AD32AB" w14:paraId="531B5F6C" w14:textId="77777777" w:rsidTr="69816609">
        <w:tc>
          <w:tcPr>
            <w:tcW w:w="9350" w:type="dxa"/>
            <w:gridSpan w:val="3"/>
            <w:shd w:val="clear" w:color="auto" w:fill="BDD6EE" w:themeFill="accent1" w:themeFillTint="66"/>
          </w:tcPr>
          <w:p w14:paraId="3D507814" w14:textId="7912F57F" w:rsidR="00AD32AB" w:rsidRPr="00C121A3" w:rsidRDefault="00AD32AB" w:rsidP="0006090E">
            <w:pPr>
              <w:pStyle w:val="psection-1"/>
              <w:spacing w:before="0" w:beforeAutospacing="0" w:after="0" w:afterAutospacing="0"/>
              <w:jc w:val="center"/>
              <w:rPr>
                <w:rFonts w:asciiTheme="minorHAnsi" w:hAnsiTheme="minorHAnsi" w:cstheme="minorHAnsi"/>
                <w:b/>
                <w:sz w:val="22"/>
                <w:szCs w:val="22"/>
              </w:rPr>
            </w:pPr>
            <w:r>
              <w:rPr>
                <w:rFonts w:asciiTheme="minorHAnsi" w:hAnsiTheme="minorHAnsi" w:cstheme="minorHAnsi"/>
                <w:b/>
                <w:szCs w:val="22"/>
              </w:rPr>
              <w:t>Adjustment Variable</w:t>
            </w:r>
            <w:r w:rsidR="00D64100">
              <w:rPr>
                <w:rFonts w:asciiTheme="minorHAnsi" w:hAnsiTheme="minorHAnsi" w:cstheme="minorHAnsi"/>
                <w:b/>
                <w:szCs w:val="22"/>
              </w:rPr>
              <w:t>s</w:t>
            </w:r>
          </w:p>
        </w:tc>
      </w:tr>
      <w:tr w:rsidR="00AD32AB" w14:paraId="3BB56447" w14:textId="77777777" w:rsidTr="69816609">
        <w:tc>
          <w:tcPr>
            <w:tcW w:w="9350" w:type="dxa"/>
            <w:gridSpan w:val="3"/>
          </w:tcPr>
          <w:p w14:paraId="53029347" w14:textId="3ED08184" w:rsidR="00513183" w:rsidRPr="00A12213" w:rsidRDefault="00513183" w:rsidP="00513183">
            <w:pPr>
              <w:pStyle w:val="ListParagraph"/>
              <w:numPr>
                <w:ilvl w:val="0"/>
                <w:numId w:val="3"/>
              </w:numPr>
              <w:rPr>
                <w:b/>
              </w:rPr>
            </w:pPr>
            <w:r>
              <w:rPr>
                <w:b/>
                <w:sz w:val="24"/>
              </w:rPr>
              <w:t>Years since last monitored</w:t>
            </w:r>
          </w:p>
          <w:p w14:paraId="54F6C2D0" w14:textId="77777777" w:rsidR="00710253" w:rsidRDefault="00AD32AB" w:rsidP="0006090E">
            <w:pPr>
              <w:pStyle w:val="psection-1"/>
              <w:spacing w:before="150" w:beforeAutospacing="0" w:after="150" w:afterAutospacing="0"/>
              <w:rPr>
                <w:rFonts w:asciiTheme="minorHAnsi" w:hAnsiTheme="minorHAnsi" w:cstheme="minorHAnsi"/>
                <w:b/>
                <w:szCs w:val="22"/>
              </w:rPr>
            </w:pPr>
            <w:r>
              <w:rPr>
                <w:rFonts w:asciiTheme="minorHAnsi" w:hAnsiTheme="minorHAnsi" w:cstheme="minorHAnsi"/>
                <w:b/>
                <w:szCs w:val="22"/>
              </w:rPr>
              <w:t xml:space="preserve">LEAs will be ranked and then organized into tiers based upon their final </w:t>
            </w:r>
            <w:r w:rsidR="00710253">
              <w:rPr>
                <w:rFonts w:asciiTheme="minorHAnsi" w:hAnsiTheme="minorHAnsi" w:cstheme="minorHAnsi"/>
                <w:b/>
                <w:szCs w:val="22"/>
              </w:rPr>
              <w:t>Monitoring Scale S</w:t>
            </w:r>
            <w:r>
              <w:rPr>
                <w:rFonts w:asciiTheme="minorHAnsi" w:hAnsiTheme="minorHAnsi" w:cstheme="minorHAnsi"/>
                <w:b/>
                <w:szCs w:val="22"/>
              </w:rPr>
              <w:t xml:space="preserve">core.  </w:t>
            </w:r>
          </w:p>
          <w:p w14:paraId="53600D40" w14:textId="2F3186C7" w:rsidR="00461FC3" w:rsidRDefault="2D694664" w:rsidP="69816609">
            <w:pPr>
              <w:pStyle w:val="psection-1"/>
              <w:numPr>
                <w:ilvl w:val="0"/>
                <w:numId w:val="21"/>
              </w:numPr>
              <w:spacing w:before="0" w:beforeAutospacing="0" w:after="0" w:afterAutospacing="0"/>
              <w:rPr>
                <w:rFonts w:asciiTheme="minorHAnsi" w:hAnsiTheme="minorHAnsi" w:cstheme="minorBidi"/>
              </w:rPr>
            </w:pPr>
            <w:r w:rsidRPr="69816609">
              <w:rPr>
                <w:rFonts w:asciiTheme="minorHAnsi" w:hAnsiTheme="minorHAnsi" w:cstheme="minorBidi"/>
              </w:rPr>
              <w:t xml:space="preserve">Step 1: </w:t>
            </w:r>
            <w:r w:rsidR="3D7C3853" w:rsidRPr="69816609">
              <w:rPr>
                <w:rFonts w:asciiTheme="minorHAnsi" w:hAnsiTheme="minorHAnsi" w:cstheme="minorBidi"/>
              </w:rPr>
              <w:t xml:space="preserve">LEAs identified for the </w:t>
            </w:r>
            <w:r w:rsidR="6156A14E" w:rsidRPr="69816609">
              <w:rPr>
                <w:rFonts w:asciiTheme="minorHAnsi" w:hAnsiTheme="minorHAnsi" w:cstheme="minorBidi"/>
              </w:rPr>
              <w:t>I</w:t>
            </w:r>
            <w:r w:rsidR="3D7C3853" w:rsidRPr="69816609">
              <w:rPr>
                <w:rFonts w:asciiTheme="minorHAnsi" w:hAnsiTheme="minorHAnsi" w:cstheme="minorBidi"/>
              </w:rPr>
              <w:t xml:space="preserve">ntensive tier who </w:t>
            </w:r>
            <w:r w:rsidR="1742B026" w:rsidRPr="69816609">
              <w:rPr>
                <w:rFonts w:asciiTheme="minorHAnsi" w:hAnsiTheme="minorHAnsi" w:cstheme="minorBidi"/>
              </w:rPr>
              <w:t xml:space="preserve">received </w:t>
            </w:r>
            <w:r w:rsidR="32938C6F" w:rsidRPr="69816609">
              <w:rPr>
                <w:rFonts w:asciiTheme="minorHAnsi" w:hAnsiTheme="minorHAnsi" w:cstheme="minorBidi"/>
              </w:rPr>
              <w:t xml:space="preserve">intensive support </w:t>
            </w:r>
            <w:r w:rsidR="3D7C3853" w:rsidRPr="69816609">
              <w:rPr>
                <w:rFonts w:asciiTheme="minorHAnsi" w:hAnsiTheme="minorHAnsi" w:cstheme="minorBidi"/>
              </w:rPr>
              <w:t xml:space="preserve">within the last </w:t>
            </w:r>
            <w:r w:rsidR="6F2FD485" w:rsidRPr="69816609">
              <w:rPr>
                <w:rFonts w:asciiTheme="minorHAnsi" w:hAnsiTheme="minorHAnsi" w:cstheme="minorBidi"/>
              </w:rPr>
              <w:t xml:space="preserve">two </w:t>
            </w:r>
            <w:r w:rsidR="6156A14E" w:rsidRPr="69816609">
              <w:rPr>
                <w:rFonts w:asciiTheme="minorHAnsi" w:hAnsiTheme="minorHAnsi" w:cstheme="minorBidi"/>
              </w:rPr>
              <w:t xml:space="preserve">years will be moved </w:t>
            </w:r>
            <w:r w:rsidR="1742B026" w:rsidRPr="69816609">
              <w:rPr>
                <w:rFonts w:asciiTheme="minorHAnsi" w:hAnsiTheme="minorHAnsi" w:cstheme="minorBidi"/>
              </w:rPr>
              <w:t xml:space="preserve">down </w:t>
            </w:r>
            <w:r w:rsidR="6156A14E" w:rsidRPr="69816609">
              <w:rPr>
                <w:rFonts w:asciiTheme="minorHAnsi" w:hAnsiTheme="minorHAnsi" w:cstheme="minorBidi"/>
              </w:rPr>
              <w:t>to the T</w:t>
            </w:r>
            <w:r w:rsidR="3D7C3853" w:rsidRPr="69816609">
              <w:rPr>
                <w:rFonts w:asciiTheme="minorHAnsi" w:hAnsiTheme="minorHAnsi" w:cstheme="minorBidi"/>
              </w:rPr>
              <w:t>argeted tier</w:t>
            </w:r>
            <w:r w:rsidR="262E20AE" w:rsidRPr="69816609">
              <w:rPr>
                <w:rFonts w:asciiTheme="minorHAnsi" w:hAnsiTheme="minorHAnsi" w:cstheme="minorBidi"/>
              </w:rPr>
              <w:t>.</w:t>
            </w:r>
          </w:p>
          <w:p w14:paraId="490F92B0" w14:textId="57BD8988" w:rsidR="00710253" w:rsidRPr="00461FC3" w:rsidRDefault="2D694664" w:rsidP="69816609">
            <w:pPr>
              <w:pStyle w:val="psection-1"/>
              <w:numPr>
                <w:ilvl w:val="0"/>
                <w:numId w:val="21"/>
              </w:numPr>
              <w:spacing w:before="0" w:beforeAutospacing="0" w:after="0" w:afterAutospacing="0"/>
              <w:rPr>
                <w:rFonts w:asciiTheme="minorHAnsi" w:hAnsiTheme="minorHAnsi" w:cstheme="minorBidi"/>
              </w:rPr>
            </w:pPr>
            <w:r w:rsidRPr="69816609">
              <w:rPr>
                <w:rFonts w:asciiTheme="minorHAnsi" w:hAnsiTheme="minorHAnsi" w:cstheme="minorBidi"/>
              </w:rPr>
              <w:t xml:space="preserve">Step 2: </w:t>
            </w:r>
            <w:r w:rsidR="6156A14E" w:rsidRPr="69816609">
              <w:rPr>
                <w:rFonts w:asciiTheme="minorHAnsi" w:hAnsiTheme="minorHAnsi" w:cstheme="minorBidi"/>
              </w:rPr>
              <w:t>When districts in the Intensive tier are bumped down, they will be replaced by the highest scoring district</w:t>
            </w:r>
            <w:r w:rsidR="1742B026" w:rsidRPr="69816609">
              <w:rPr>
                <w:rFonts w:asciiTheme="minorHAnsi" w:hAnsiTheme="minorHAnsi" w:cstheme="minorBidi"/>
              </w:rPr>
              <w:t>(</w:t>
            </w:r>
            <w:r w:rsidR="6156A14E" w:rsidRPr="69816609">
              <w:rPr>
                <w:rFonts w:asciiTheme="minorHAnsi" w:hAnsiTheme="minorHAnsi" w:cstheme="minorBidi"/>
              </w:rPr>
              <w:t>s</w:t>
            </w:r>
            <w:r w:rsidR="1742B026" w:rsidRPr="69816609">
              <w:rPr>
                <w:rFonts w:asciiTheme="minorHAnsi" w:hAnsiTheme="minorHAnsi" w:cstheme="minorBidi"/>
              </w:rPr>
              <w:t>)</w:t>
            </w:r>
            <w:r w:rsidR="6156A14E" w:rsidRPr="69816609">
              <w:rPr>
                <w:rFonts w:asciiTheme="minorHAnsi" w:hAnsiTheme="minorHAnsi" w:cstheme="minorBidi"/>
              </w:rPr>
              <w:t xml:space="preserve"> in the Targeted tier, assuming those districts have not been monitored in the past t</w:t>
            </w:r>
            <w:r w:rsidR="6F2FD485" w:rsidRPr="69816609">
              <w:rPr>
                <w:rFonts w:asciiTheme="minorHAnsi" w:hAnsiTheme="minorHAnsi" w:cstheme="minorBidi"/>
              </w:rPr>
              <w:t xml:space="preserve">wo </w:t>
            </w:r>
            <w:r w:rsidR="6156A14E" w:rsidRPr="69816609">
              <w:rPr>
                <w:rFonts w:asciiTheme="minorHAnsi" w:hAnsiTheme="minorHAnsi" w:cstheme="minorBidi"/>
              </w:rPr>
              <w:t>years.</w:t>
            </w:r>
          </w:p>
          <w:p w14:paraId="4021402A" w14:textId="5B12CC2D" w:rsidR="00710253" w:rsidRPr="00064E6A" w:rsidRDefault="2D694664" w:rsidP="69816609">
            <w:pPr>
              <w:pStyle w:val="psection-1"/>
              <w:numPr>
                <w:ilvl w:val="0"/>
                <w:numId w:val="21"/>
              </w:numPr>
              <w:spacing w:before="0" w:beforeAutospacing="0" w:after="0" w:afterAutospacing="0"/>
              <w:rPr>
                <w:rFonts w:asciiTheme="minorHAnsi" w:hAnsiTheme="minorHAnsi" w:cstheme="minorBidi"/>
              </w:rPr>
            </w:pPr>
            <w:r w:rsidRPr="69816609">
              <w:rPr>
                <w:rFonts w:asciiTheme="minorHAnsi" w:hAnsiTheme="minorHAnsi" w:cstheme="minorBidi"/>
              </w:rPr>
              <w:t xml:space="preserve">Step 3: </w:t>
            </w:r>
            <w:r w:rsidR="420E6934" w:rsidRPr="69816609">
              <w:rPr>
                <w:rFonts w:asciiTheme="minorHAnsi" w:hAnsiTheme="minorHAnsi" w:cstheme="minorBidi"/>
              </w:rPr>
              <w:t>LEAs identified for the T</w:t>
            </w:r>
            <w:r w:rsidR="6156A14E" w:rsidRPr="69816609">
              <w:rPr>
                <w:rFonts w:asciiTheme="minorHAnsi" w:hAnsiTheme="minorHAnsi" w:cstheme="minorBidi"/>
              </w:rPr>
              <w:t>argeted tier who were monitored within the last t</w:t>
            </w:r>
            <w:r w:rsidR="6F2FD485" w:rsidRPr="69816609">
              <w:rPr>
                <w:rFonts w:asciiTheme="minorHAnsi" w:hAnsiTheme="minorHAnsi" w:cstheme="minorBidi"/>
              </w:rPr>
              <w:t xml:space="preserve">wo </w:t>
            </w:r>
            <w:r w:rsidR="6156A14E" w:rsidRPr="69816609">
              <w:rPr>
                <w:rFonts w:asciiTheme="minorHAnsi" w:hAnsiTheme="minorHAnsi" w:cstheme="minorBidi"/>
              </w:rPr>
              <w:t xml:space="preserve">years will be moved to the Universal Support tier.  </w:t>
            </w:r>
          </w:p>
          <w:p w14:paraId="2CD115B4" w14:textId="4FFF58BF" w:rsidR="00710253" w:rsidRPr="00064E6A" w:rsidRDefault="2D694664" w:rsidP="69816609">
            <w:pPr>
              <w:pStyle w:val="psection-1"/>
              <w:numPr>
                <w:ilvl w:val="0"/>
                <w:numId w:val="21"/>
              </w:numPr>
              <w:spacing w:before="0" w:beforeAutospacing="0" w:after="0" w:afterAutospacing="0"/>
              <w:rPr>
                <w:rFonts w:asciiTheme="minorHAnsi" w:hAnsiTheme="minorHAnsi" w:cstheme="minorBidi"/>
              </w:rPr>
            </w:pPr>
            <w:r w:rsidRPr="69816609">
              <w:rPr>
                <w:rFonts w:asciiTheme="minorHAnsi" w:hAnsiTheme="minorHAnsi" w:cstheme="minorBidi"/>
              </w:rPr>
              <w:t xml:space="preserve">Step 4: </w:t>
            </w:r>
            <w:r w:rsidR="6156A14E" w:rsidRPr="69816609">
              <w:rPr>
                <w:rFonts w:asciiTheme="minorHAnsi" w:hAnsiTheme="minorHAnsi" w:cstheme="minorBidi"/>
              </w:rPr>
              <w:t>When districts in the Targeted tier are bumped down, they will be replaced by the highest scoring district</w:t>
            </w:r>
            <w:r w:rsidR="1742B026" w:rsidRPr="69816609">
              <w:rPr>
                <w:rFonts w:asciiTheme="minorHAnsi" w:hAnsiTheme="minorHAnsi" w:cstheme="minorBidi"/>
              </w:rPr>
              <w:t>(</w:t>
            </w:r>
            <w:r w:rsidR="6156A14E" w:rsidRPr="69816609">
              <w:rPr>
                <w:rFonts w:asciiTheme="minorHAnsi" w:hAnsiTheme="minorHAnsi" w:cstheme="minorBidi"/>
              </w:rPr>
              <w:t>s</w:t>
            </w:r>
            <w:r w:rsidR="1742B026" w:rsidRPr="69816609">
              <w:rPr>
                <w:rFonts w:asciiTheme="minorHAnsi" w:hAnsiTheme="minorHAnsi" w:cstheme="minorBidi"/>
              </w:rPr>
              <w:t>)</w:t>
            </w:r>
            <w:r w:rsidR="6156A14E" w:rsidRPr="69816609">
              <w:rPr>
                <w:rFonts w:asciiTheme="minorHAnsi" w:hAnsiTheme="minorHAnsi" w:cstheme="minorBidi"/>
              </w:rPr>
              <w:t xml:space="preserve"> in the Universal </w:t>
            </w:r>
            <w:r w:rsidR="262E20AE" w:rsidRPr="69816609">
              <w:rPr>
                <w:rFonts w:asciiTheme="minorHAnsi" w:hAnsiTheme="minorHAnsi" w:cstheme="minorBidi"/>
              </w:rPr>
              <w:t>S</w:t>
            </w:r>
            <w:r w:rsidR="6156A14E" w:rsidRPr="69816609">
              <w:rPr>
                <w:rFonts w:asciiTheme="minorHAnsi" w:hAnsiTheme="minorHAnsi" w:cstheme="minorBidi"/>
              </w:rPr>
              <w:t>upport tier, assuming those districts have not been monitored in the past t</w:t>
            </w:r>
            <w:r w:rsidR="6F2FD485" w:rsidRPr="69816609">
              <w:rPr>
                <w:rFonts w:asciiTheme="minorHAnsi" w:hAnsiTheme="minorHAnsi" w:cstheme="minorBidi"/>
              </w:rPr>
              <w:t xml:space="preserve">wo </w:t>
            </w:r>
            <w:r w:rsidR="6156A14E" w:rsidRPr="69816609">
              <w:rPr>
                <w:rFonts w:asciiTheme="minorHAnsi" w:hAnsiTheme="minorHAnsi" w:cstheme="minorBidi"/>
              </w:rPr>
              <w:t>years.</w:t>
            </w:r>
          </w:p>
          <w:p w14:paraId="75D4306B" w14:textId="77777777" w:rsidR="00D64100" w:rsidRDefault="00D64100" w:rsidP="00D64100">
            <w:pPr>
              <w:pStyle w:val="psection-1"/>
              <w:spacing w:before="150" w:beforeAutospacing="0" w:after="150" w:afterAutospacing="0"/>
              <w:ind w:left="360"/>
              <w:rPr>
                <w:rFonts w:asciiTheme="minorHAnsi" w:hAnsiTheme="minorHAnsi" w:cstheme="minorHAnsi"/>
                <w:b/>
                <w:szCs w:val="22"/>
              </w:rPr>
            </w:pPr>
            <w:r>
              <w:rPr>
                <w:rFonts w:asciiTheme="minorHAnsi" w:hAnsiTheme="minorHAnsi" w:cstheme="minorHAnsi"/>
                <w:b/>
                <w:szCs w:val="22"/>
              </w:rPr>
              <w:t>13. QSAC monitoring in current year</w:t>
            </w:r>
          </w:p>
          <w:p w14:paraId="685277F3" w14:textId="64F8A1BD" w:rsidR="00D64100" w:rsidRDefault="35C04338" w:rsidP="7BD66604">
            <w:pPr>
              <w:pStyle w:val="psection-1"/>
              <w:spacing w:before="150" w:beforeAutospacing="0" w:after="150" w:afterAutospacing="0"/>
              <w:rPr>
                <w:rFonts w:asciiTheme="minorHAnsi" w:hAnsiTheme="minorHAnsi" w:cstheme="minorBidi"/>
                <w:b/>
                <w:bCs/>
              </w:rPr>
            </w:pPr>
            <w:r w:rsidRPr="7BD66604">
              <w:rPr>
                <w:rFonts w:asciiTheme="minorHAnsi" w:hAnsiTheme="minorHAnsi" w:cstheme="minorBidi"/>
                <w:b/>
                <w:bCs/>
              </w:rPr>
              <w:t>QSAC is the NJDOE’s</w:t>
            </w:r>
            <w:r>
              <w:t xml:space="preserve"> </w:t>
            </w:r>
            <w:r w:rsidRPr="7BD66604">
              <w:rPr>
                <w:rFonts w:asciiTheme="minorHAnsi" w:hAnsiTheme="minorHAnsi" w:cstheme="minorBidi"/>
                <w:b/>
                <w:bCs/>
              </w:rPr>
              <w:t xml:space="preserve">self-evaluation system for </w:t>
            </w:r>
            <w:r w:rsidR="1102066F" w:rsidRPr="7BD66604">
              <w:rPr>
                <w:rFonts w:asciiTheme="minorHAnsi" w:hAnsiTheme="minorHAnsi" w:cstheme="minorBidi"/>
                <w:b/>
                <w:bCs/>
              </w:rPr>
              <w:t>LEAs</w:t>
            </w:r>
            <w:r w:rsidRPr="7BD66604">
              <w:rPr>
                <w:rFonts w:asciiTheme="minorHAnsi" w:hAnsiTheme="minorHAnsi" w:cstheme="minorBidi"/>
                <w:b/>
                <w:bCs/>
              </w:rPr>
              <w:t xml:space="preserve">. This field will indicate whether the LEA </w:t>
            </w:r>
            <w:r w:rsidR="0255555C" w:rsidRPr="7BD66604">
              <w:rPr>
                <w:rFonts w:asciiTheme="minorHAnsi" w:hAnsiTheme="minorHAnsi" w:cstheme="minorBidi"/>
                <w:b/>
                <w:bCs/>
              </w:rPr>
              <w:t xml:space="preserve">currently </w:t>
            </w:r>
            <w:r w:rsidRPr="7BD66604">
              <w:rPr>
                <w:rFonts w:asciiTheme="minorHAnsi" w:hAnsiTheme="minorHAnsi" w:cstheme="minorBidi"/>
                <w:b/>
                <w:bCs/>
              </w:rPr>
              <w:t xml:space="preserve">is  involved in the QSAC process. If an LEA is in </w:t>
            </w:r>
            <w:r w:rsidR="2E4CDB38" w:rsidRPr="7BD66604">
              <w:rPr>
                <w:rFonts w:asciiTheme="minorHAnsi" w:hAnsiTheme="minorHAnsi" w:cstheme="minorBidi"/>
                <w:b/>
                <w:bCs/>
              </w:rPr>
              <w:t xml:space="preserve">the monitoring cycle for </w:t>
            </w:r>
            <w:r w:rsidRPr="7BD66604">
              <w:rPr>
                <w:rFonts w:asciiTheme="minorHAnsi" w:hAnsiTheme="minorHAnsi" w:cstheme="minorBidi"/>
                <w:b/>
                <w:bCs/>
              </w:rPr>
              <w:t xml:space="preserve">QSAC, they will be excluded from </w:t>
            </w:r>
            <w:r w:rsidR="572911B0" w:rsidRPr="7BD66604">
              <w:rPr>
                <w:rFonts w:asciiTheme="minorHAnsi" w:hAnsiTheme="minorHAnsi" w:cstheme="minorBidi"/>
                <w:b/>
                <w:bCs/>
              </w:rPr>
              <w:t>Intensive</w:t>
            </w:r>
            <w:r w:rsidRPr="7BD66604">
              <w:rPr>
                <w:rFonts w:asciiTheme="minorHAnsi" w:hAnsiTheme="minorHAnsi" w:cstheme="minorBidi"/>
                <w:b/>
                <w:bCs/>
              </w:rPr>
              <w:t xml:space="preserve"> </w:t>
            </w:r>
            <w:r w:rsidR="12AE6876" w:rsidRPr="7BD66604">
              <w:rPr>
                <w:rFonts w:asciiTheme="minorHAnsi" w:hAnsiTheme="minorHAnsi" w:cstheme="minorBidi"/>
                <w:b/>
                <w:bCs/>
              </w:rPr>
              <w:t>C</w:t>
            </w:r>
            <w:r w:rsidRPr="7BD66604">
              <w:rPr>
                <w:rFonts w:asciiTheme="minorHAnsi" w:hAnsiTheme="minorHAnsi" w:cstheme="minorBidi"/>
                <w:b/>
                <w:bCs/>
              </w:rPr>
              <w:t xml:space="preserve">ollaborative </w:t>
            </w:r>
            <w:r w:rsidR="12AE6876" w:rsidRPr="7BD66604">
              <w:rPr>
                <w:rFonts w:asciiTheme="minorHAnsi" w:hAnsiTheme="minorHAnsi" w:cstheme="minorBidi"/>
                <w:b/>
                <w:bCs/>
              </w:rPr>
              <w:t>M</w:t>
            </w:r>
            <w:r w:rsidRPr="7BD66604">
              <w:rPr>
                <w:rFonts w:asciiTheme="minorHAnsi" w:hAnsiTheme="minorHAnsi" w:cstheme="minorBidi"/>
                <w:b/>
                <w:bCs/>
              </w:rPr>
              <w:t>onitoring</w:t>
            </w:r>
            <w:r w:rsidR="6297E845" w:rsidRPr="7BD66604">
              <w:rPr>
                <w:rFonts w:asciiTheme="minorHAnsi" w:hAnsiTheme="minorHAnsi" w:cstheme="minorBidi"/>
                <w:b/>
                <w:bCs/>
              </w:rPr>
              <w:t>,</w:t>
            </w:r>
            <w:r w:rsidR="572911B0" w:rsidRPr="7BD66604">
              <w:rPr>
                <w:rFonts w:asciiTheme="minorHAnsi" w:hAnsiTheme="minorHAnsi" w:cstheme="minorBidi"/>
                <w:b/>
                <w:bCs/>
              </w:rPr>
              <w:t xml:space="preserve"> but not Targeted </w:t>
            </w:r>
            <w:r w:rsidR="12AE6876" w:rsidRPr="7BD66604">
              <w:rPr>
                <w:rFonts w:asciiTheme="minorHAnsi" w:hAnsiTheme="minorHAnsi" w:cstheme="minorBidi"/>
                <w:b/>
                <w:bCs/>
              </w:rPr>
              <w:t>S</w:t>
            </w:r>
            <w:r w:rsidR="572911B0" w:rsidRPr="7BD66604">
              <w:rPr>
                <w:rFonts w:asciiTheme="minorHAnsi" w:hAnsiTheme="minorHAnsi" w:cstheme="minorBidi"/>
                <w:b/>
                <w:bCs/>
              </w:rPr>
              <w:t>upport</w:t>
            </w:r>
            <w:r w:rsidRPr="7BD66604">
              <w:rPr>
                <w:rFonts w:asciiTheme="minorHAnsi" w:hAnsiTheme="minorHAnsi" w:cstheme="minorBidi"/>
                <w:b/>
                <w:bCs/>
              </w:rPr>
              <w:t>.</w:t>
            </w:r>
          </w:p>
          <w:p w14:paraId="170DE06E" w14:textId="3161CBE4" w:rsidR="00064E6A" w:rsidRPr="00064E6A" w:rsidRDefault="420E6934">
            <w:pPr>
              <w:pStyle w:val="psection-1"/>
              <w:numPr>
                <w:ilvl w:val="0"/>
                <w:numId w:val="21"/>
              </w:numPr>
              <w:spacing w:before="0" w:beforeAutospacing="0" w:after="0" w:afterAutospacing="0"/>
              <w:rPr>
                <w:rFonts w:asciiTheme="minorHAnsi" w:eastAsiaTheme="minorEastAsia" w:hAnsiTheme="minorHAnsi" w:cstheme="minorBidi"/>
              </w:rPr>
            </w:pPr>
            <w:r w:rsidRPr="69816609">
              <w:rPr>
                <w:rFonts w:asciiTheme="minorHAnsi" w:hAnsiTheme="minorHAnsi" w:cstheme="minorBidi"/>
              </w:rPr>
              <w:t xml:space="preserve">Step 1: LEAs identified for the Intensive tier </w:t>
            </w:r>
            <w:r w:rsidR="795A8269" w:rsidRPr="69816609">
              <w:rPr>
                <w:rFonts w:asciiTheme="minorHAnsi" w:hAnsiTheme="minorHAnsi" w:cstheme="minorBidi"/>
              </w:rPr>
              <w:t xml:space="preserve">that </w:t>
            </w:r>
            <w:r w:rsidRPr="69816609">
              <w:rPr>
                <w:rFonts w:asciiTheme="minorHAnsi" w:hAnsiTheme="minorHAnsi" w:cstheme="minorBidi"/>
              </w:rPr>
              <w:t>are under QSAC monitoring in the current year will be moved down to the Targeted tier</w:t>
            </w:r>
            <w:r w:rsidR="262E20AE" w:rsidRPr="69816609">
              <w:rPr>
                <w:rFonts w:asciiTheme="minorHAnsi" w:hAnsiTheme="minorHAnsi" w:cstheme="minorBidi"/>
              </w:rPr>
              <w:t>.</w:t>
            </w:r>
          </w:p>
          <w:p w14:paraId="0A67A9F7" w14:textId="572635A6" w:rsidR="00064E6A" w:rsidRPr="00064E6A" w:rsidRDefault="420E6934" w:rsidP="69816609">
            <w:pPr>
              <w:pStyle w:val="psection-1"/>
              <w:numPr>
                <w:ilvl w:val="0"/>
                <w:numId w:val="21"/>
              </w:numPr>
              <w:spacing w:before="0" w:beforeAutospacing="0" w:after="0" w:afterAutospacing="0"/>
              <w:rPr>
                <w:rFonts w:asciiTheme="minorHAnsi" w:hAnsiTheme="minorHAnsi" w:cstheme="minorBidi"/>
              </w:rPr>
            </w:pPr>
            <w:r w:rsidRPr="69816609">
              <w:rPr>
                <w:rFonts w:asciiTheme="minorHAnsi" w:hAnsiTheme="minorHAnsi" w:cstheme="minorBidi"/>
              </w:rPr>
              <w:t>Step 2: When districts in the Intensive tier are bumped down, they will be replaced by the highest scoring district(s) in the Targeted tier, assuming those districts are not under QSAC monitoring in the current year.</w:t>
            </w:r>
          </w:p>
          <w:p w14:paraId="45F01F94" w14:textId="6465FE30" w:rsidR="00064E6A" w:rsidRPr="00064E6A" w:rsidRDefault="420E6934">
            <w:pPr>
              <w:pStyle w:val="psection-1"/>
              <w:numPr>
                <w:ilvl w:val="0"/>
                <w:numId w:val="21"/>
              </w:numPr>
              <w:spacing w:before="0" w:beforeAutospacing="0" w:after="0" w:afterAutospacing="0"/>
              <w:rPr>
                <w:rFonts w:asciiTheme="minorHAnsi" w:eastAsiaTheme="minorEastAsia" w:hAnsiTheme="minorHAnsi" w:cstheme="minorBidi"/>
              </w:rPr>
            </w:pPr>
            <w:r w:rsidRPr="69816609">
              <w:rPr>
                <w:rFonts w:asciiTheme="minorHAnsi" w:hAnsiTheme="minorHAnsi" w:cstheme="minorBidi"/>
              </w:rPr>
              <w:t xml:space="preserve">Step 3: LEAs identified for the Targeted tier </w:t>
            </w:r>
            <w:r w:rsidR="14D462EA" w:rsidRPr="69816609">
              <w:rPr>
                <w:rFonts w:asciiTheme="minorHAnsi" w:hAnsiTheme="minorHAnsi" w:cstheme="minorBidi"/>
              </w:rPr>
              <w:t xml:space="preserve">that </w:t>
            </w:r>
            <w:r w:rsidR="1885C420" w:rsidRPr="69816609">
              <w:rPr>
                <w:rFonts w:asciiTheme="minorHAnsi" w:hAnsiTheme="minorHAnsi" w:cstheme="minorBidi"/>
              </w:rPr>
              <w:t>are</w:t>
            </w:r>
            <w:r w:rsidRPr="69816609">
              <w:rPr>
                <w:rFonts w:asciiTheme="minorHAnsi" w:hAnsiTheme="minorHAnsi" w:cstheme="minorBidi"/>
              </w:rPr>
              <w:t xml:space="preserve"> under QSAC monitoring in the current year will </w:t>
            </w:r>
            <w:r w:rsidR="6E157970" w:rsidRPr="69816609">
              <w:rPr>
                <w:rFonts w:asciiTheme="minorHAnsi" w:hAnsiTheme="minorHAnsi" w:cstheme="minorBidi"/>
              </w:rPr>
              <w:t>remain in Targeted</w:t>
            </w:r>
            <w:r w:rsidRPr="69816609">
              <w:rPr>
                <w:rFonts w:asciiTheme="minorHAnsi" w:hAnsiTheme="minorHAnsi" w:cstheme="minorBidi"/>
              </w:rPr>
              <w:t xml:space="preserve"> Support tier.  </w:t>
            </w:r>
          </w:p>
          <w:p w14:paraId="1F813AB1" w14:textId="77777777" w:rsidR="00AD32AB" w:rsidRPr="00FB5B39" w:rsidRDefault="00AD32AB" w:rsidP="00A63ED2">
            <w:pPr>
              <w:pStyle w:val="psection-1"/>
              <w:spacing w:before="0" w:beforeAutospacing="0" w:after="0" w:afterAutospacing="0"/>
              <w:ind w:left="720"/>
            </w:pPr>
          </w:p>
        </w:tc>
      </w:tr>
      <w:tr w:rsidR="00BD2D08" w14:paraId="0E8B4325" w14:textId="77777777" w:rsidTr="69816609">
        <w:tc>
          <w:tcPr>
            <w:tcW w:w="9350" w:type="dxa"/>
            <w:gridSpan w:val="3"/>
            <w:shd w:val="clear" w:color="auto" w:fill="2E74B5" w:themeFill="accent1" w:themeFillShade="BF"/>
          </w:tcPr>
          <w:p w14:paraId="38F0F246" w14:textId="72F6DC9D" w:rsidR="00BD2D08" w:rsidRDefault="00BD2D08" w:rsidP="0006090E">
            <w:pPr>
              <w:pStyle w:val="psection-1"/>
              <w:spacing w:before="0" w:beforeAutospacing="0" w:after="0" w:afterAutospacing="0"/>
              <w:rPr>
                <w:rFonts w:asciiTheme="minorHAnsi" w:hAnsiTheme="minorHAnsi" w:cstheme="minorHAnsi"/>
                <w:sz w:val="22"/>
                <w:szCs w:val="22"/>
              </w:rPr>
            </w:pPr>
          </w:p>
        </w:tc>
      </w:tr>
    </w:tbl>
    <w:p w14:paraId="3D7E5DD5" w14:textId="77777777" w:rsidR="006F356D" w:rsidRDefault="006F356D" w:rsidP="00AF6D1E">
      <w:pPr>
        <w:pStyle w:val="psection-1"/>
        <w:shd w:val="clear" w:color="auto" w:fill="FFFFFF"/>
        <w:spacing w:before="150" w:beforeAutospacing="0" w:after="150" w:afterAutospacing="0"/>
        <w:rPr>
          <w:rFonts w:asciiTheme="minorHAnsi" w:hAnsiTheme="minorHAnsi" w:cstheme="minorHAnsi"/>
          <w:sz w:val="22"/>
          <w:szCs w:val="22"/>
        </w:rPr>
      </w:pPr>
    </w:p>
    <w:sectPr w:rsidR="006F356D" w:rsidSect="00FE520A">
      <w:footerReference w:type="default" r:id="rId13"/>
      <w:pgSz w:w="12240" w:h="15840"/>
      <w:pgMar w:top="720" w:right="1440" w:bottom="720" w:left="1440" w:header="288" w:footer="28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95F126" w16cex:dateUtc="2020-05-28T12:52:30.885Z"/>
  <w16cex:commentExtensible w16cex:durableId="32CEEF03" w16cex:dateUtc="2020-05-28T12:53:04.876Z"/>
  <w16cex:commentExtensible w16cex:durableId="257E958E" w16cex:dateUtc="2020-06-05T01:42:28.629Z"/>
  <w16cex:commentExtensible w16cex:durableId="4CA58C15" w16cex:dateUtc="2020-06-05T14:33:25.227Z"/>
  <w16cex:commentExtensible w16cex:durableId="2560316B" w16cex:dateUtc="2020-06-05T14:34:41.088Z"/>
  <w16cex:commentExtensible w16cex:durableId="1892865A" w16cex:dateUtc="2020-06-11T13:40:46.835Z"/>
  <w16cex:commentExtensible w16cex:durableId="1C8B714B" w16cex:dateUtc="2020-06-11T13:41:28.76Z"/>
  <w16cex:commentExtensible w16cex:durableId="151FE816" w16cex:dateUtc="2020-06-11T13:42:10.224Z"/>
  <w16cex:commentExtensible w16cex:durableId="67CA3118" w16cex:dateUtc="2020-06-11T13:42:57.769Z"/>
  <w16cex:commentExtensible w16cex:durableId="5D5A2D37" w16cex:dateUtc="2020-06-11T15:38:37.255Z"/>
  <w16cex:commentExtensible w16cex:durableId="47FA0D43" w16cex:dateUtc="2020-06-11T15:39:33.726Z"/>
</w16cex:commentsExtensible>
</file>

<file path=word/commentsIds.xml><?xml version="1.0" encoding="utf-8"?>
<w16cid:commentsIds xmlns:mc="http://schemas.openxmlformats.org/markup-compatibility/2006" xmlns:w16cid="http://schemas.microsoft.com/office/word/2016/wordml/cid" mc:Ignorable="w16cid">
  <w16cid:commentId w16cid:paraId="7B786F8B" w16cid:durableId="3695F126"/>
  <w16cid:commentId w16cid:paraId="1CE1414B" w16cid:durableId="32CEEF03"/>
  <w16cid:commentId w16cid:paraId="52F94708" w16cid:durableId="257E958E"/>
  <w16cid:commentId w16cid:paraId="3063FA58" w16cid:durableId="4CA58C15"/>
  <w16cid:commentId w16cid:paraId="39D67462" w16cid:durableId="2560316B"/>
  <w16cid:commentId w16cid:paraId="6B10A374" w16cid:durableId="1892865A"/>
  <w16cid:commentId w16cid:paraId="60596450" w16cid:durableId="1C8B714B"/>
  <w16cid:commentId w16cid:paraId="32F91AF9" w16cid:durableId="151FE816"/>
  <w16cid:commentId w16cid:paraId="4AEFED2F" w16cid:durableId="67CA3118"/>
  <w16cid:commentId w16cid:paraId="2F28F954" w16cid:durableId="5D5A2D37"/>
  <w16cid:commentId w16cid:paraId="265ADF2E" w16cid:durableId="47FA0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6D14" w14:textId="77777777" w:rsidR="000C3798" w:rsidRDefault="000C3798" w:rsidP="00BA791D">
      <w:pPr>
        <w:spacing w:after="0" w:line="240" w:lineRule="auto"/>
      </w:pPr>
      <w:r>
        <w:separator/>
      </w:r>
    </w:p>
  </w:endnote>
  <w:endnote w:type="continuationSeparator" w:id="0">
    <w:p w14:paraId="41E4E0E3" w14:textId="77777777" w:rsidR="000C3798" w:rsidRDefault="000C3798" w:rsidP="00BA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E68A" w14:textId="5234EA35" w:rsidR="00A002A1" w:rsidRPr="00A002A1" w:rsidRDefault="00A002A1">
    <w:pPr>
      <w:pStyle w:val="Footer"/>
      <w:rPr>
        <w:sz w:val="18"/>
      </w:rPr>
    </w:pPr>
    <w:r>
      <w:rPr>
        <w:sz w:val="18"/>
      </w:rPr>
      <w:t xml:space="preserve">Last revised:  </w:t>
    </w:r>
    <w:r w:rsidR="003E2086">
      <w:rPr>
        <w:sz w:val="18"/>
      </w:rPr>
      <w:t>5/26/20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E81B" w14:textId="77777777" w:rsidR="000C3798" w:rsidRDefault="000C3798" w:rsidP="00BA791D">
      <w:pPr>
        <w:spacing w:after="0" w:line="240" w:lineRule="auto"/>
      </w:pPr>
      <w:r>
        <w:separator/>
      </w:r>
    </w:p>
  </w:footnote>
  <w:footnote w:type="continuationSeparator" w:id="0">
    <w:p w14:paraId="7531CCC9" w14:textId="77777777" w:rsidR="000C3798" w:rsidRDefault="000C3798" w:rsidP="00BA791D">
      <w:pPr>
        <w:spacing w:after="0" w:line="240" w:lineRule="auto"/>
      </w:pPr>
      <w:r>
        <w:continuationSeparator/>
      </w:r>
    </w:p>
  </w:footnote>
  <w:footnote w:id="1">
    <w:p w14:paraId="088C9477" w14:textId="2C07E0BE" w:rsidR="00EC2EF6" w:rsidRDefault="00EC2EF6">
      <w:pPr>
        <w:pStyle w:val="FootnoteText"/>
      </w:pPr>
      <w:r>
        <w:rPr>
          <w:rStyle w:val="FootnoteReference"/>
        </w:rPr>
        <w:footnoteRef/>
      </w:r>
      <w:r>
        <w:t xml:space="preserve"> </w:t>
      </w:r>
      <w:r w:rsidR="008B115E">
        <w:t xml:space="preserve">Indicators 1 to 3 are related to academic performance and are standardized on a scale from 0 to 5.  Each of these indicators are weighted to account for 5.263% of the Scale’s value.  Indicators 4 to 11 are related to fiscal performance and are standardized on a scale from 0 to 10.  Each of these indicators are weighted for 10.526% of the Scale’s value.   </w:t>
      </w:r>
    </w:p>
  </w:footnote>
  <w:footnote w:id="2">
    <w:p w14:paraId="03DFDD96" w14:textId="6FD96ABC" w:rsidR="00303C06" w:rsidRDefault="00303C06" w:rsidP="00303C06">
      <w:pPr>
        <w:pStyle w:val="FootnoteText"/>
      </w:pPr>
      <w:r>
        <w:rPr>
          <w:rStyle w:val="FootnoteReference"/>
        </w:rPr>
        <w:footnoteRef/>
      </w:r>
      <w:r>
        <w:t xml:space="preserve"> In 2019, the average number of revision rounds was 4 for ESEA, 2 for IDEA and 5 for Perkins.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F92"/>
    <w:multiLevelType w:val="hybridMultilevel"/>
    <w:tmpl w:val="1A5C90FC"/>
    <w:lvl w:ilvl="0" w:tplc="1C24F210">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 w15:restartNumberingAfterBreak="0">
    <w:nsid w:val="0D4C58B1"/>
    <w:multiLevelType w:val="hybridMultilevel"/>
    <w:tmpl w:val="73BC5C36"/>
    <w:lvl w:ilvl="0" w:tplc="B2D8B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53B"/>
    <w:multiLevelType w:val="hybridMultilevel"/>
    <w:tmpl w:val="C9648180"/>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F7533"/>
    <w:multiLevelType w:val="hybridMultilevel"/>
    <w:tmpl w:val="0A468D9C"/>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B60B5"/>
    <w:multiLevelType w:val="hybridMultilevel"/>
    <w:tmpl w:val="7D9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09EE"/>
    <w:multiLevelType w:val="hybridMultilevel"/>
    <w:tmpl w:val="F03CCC34"/>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471C"/>
    <w:multiLevelType w:val="hybridMultilevel"/>
    <w:tmpl w:val="F90E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31D5"/>
    <w:multiLevelType w:val="hybridMultilevel"/>
    <w:tmpl w:val="256A9A2A"/>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952A1"/>
    <w:multiLevelType w:val="hybridMultilevel"/>
    <w:tmpl w:val="DFD806C2"/>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70674"/>
    <w:multiLevelType w:val="hybridMultilevel"/>
    <w:tmpl w:val="8662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70DB3"/>
    <w:multiLevelType w:val="hybridMultilevel"/>
    <w:tmpl w:val="C464BD12"/>
    <w:lvl w:ilvl="0" w:tplc="A59E448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B11F3"/>
    <w:multiLevelType w:val="hybridMultilevel"/>
    <w:tmpl w:val="424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A59E8"/>
    <w:multiLevelType w:val="hybridMultilevel"/>
    <w:tmpl w:val="857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73F6"/>
    <w:multiLevelType w:val="hybridMultilevel"/>
    <w:tmpl w:val="7D9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22A15"/>
    <w:multiLevelType w:val="hybridMultilevel"/>
    <w:tmpl w:val="9A74E73C"/>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51A0C"/>
    <w:multiLevelType w:val="hybridMultilevel"/>
    <w:tmpl w:val="1FB6141C"/>
    <w:lvl w:ilvl="0" w:tplc="F67C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359F0"/>
    <w:multiLevelType w:val="hybridMultilevel"/>
    <w:tmpl w:val="7D9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E2814"/>
    <w:multiLevelType w:val="hybridMultilevel"/>
    <w:tmpl w:val="7D9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86899"/>
    <w:multiLevelType w:val="hybridMultilevel"/>
    <w:tmpl w:val="ECAAF464"/>
    <w:lvl w:ilvl="0" w:tplc="C9CE7C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72C58"/>
    <w:multiLevelType w:val="hybridMultilevel"/>
    <w:tmpl w:val="7D98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456EF"/>
    <w:multiLevelType w:val="hybridMultilevel"/>
    <w:tmpl w:val="1E3EBB02"/>
    <w:lvl w:ilvl="0" w:tplc="38C8E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9"/>
  </w:num>
  <w:num w:numId="5">
    <w:abstractNumId w:val="17"/>
  </w:num>
  <w:num w:numId="6">
    <w:abstractNumId w:val="13"/>
  </w:num>
  <w:num w:numId="7">
    <w:abstractNumId w:val="15"/>
  </w:num>
  <w:num w:numId="8">
    <w:abstractNumId w:val="0"/>
  </w:num>
  <w:num w:numId="9">
    <w:abstractNumId w:val="1"/>
  </w:num>
  <w:num w:numId="10">
    <w:abstractNumId w:val="10"/>
  </w:num>
  <w:num w:numId="11">
    <w:abstractNumId w:val="4"/>
  </w:num>
  <w:num w:numId="12">
    <w:abstractNumId w:val="16"/>
  </w:num>
  <w:num w:numId="13">
    <w:abstractNumId w:val="18"/>
  </w:num>
  <w:num w:numId="14">
    <w:abstractNumId w:val="3"/>
  </w:num>
  <w:num w:numId="15">
    <w:abstractNumId w:val="8"/>
  </w:num>
  <w:num w:numId="16">
    <w:abstractNumId w:val="20"/>
  </w:num>
  <w:num w:numId="17">
    <w:abstractNumId w:val="2"/>
  </w:num>
  <w:num w:numId="18">
    <w:abstractNumId w:val="14"/>
  </w:num>
  <w:num w:numId="19">
    <w:abstractNumId w:val="7"/>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B"/>
    <w:rsid w:val="00015F74"/>
    <w:rsid w:val="00036B6B"/>
    <w:rsid w:val="0006090E"/>
    <w:rsid w:val="00060DB3"/>
    <w:rsid w:val="00064E6A"/>
    <w:rsid w:val="00065DB0"/>
    <w:rsid w:val="00080BF2"/>
    <w:rsid w:val="00082649"/>
    <w:rsid w:val="000C3798"/>
    <w:rsid w:val="00127CA6"/>
    <w:rsid w:val="00192711"/>
    <w:rsid w:val="001B4BA0"/>
    <w:rsid w:val="002321B3"/>
    <w:rsid w:val="00232780"/>
    <w:rsid w:val="0025375C"/>
    <w:rsid w:val="00286C4E"/>
    <w:rsid w:val="0029788C"/>
    <w:rsid w:val="002C2FEB"/>
    <w:rsid w:val="00303C06"/>
    <w:rsid w:val="0030612D"/>
    <w:rsid w:val="00363018"/>
    <w:rsid w:val="003864C0"/>
    <w:rsid w:val="003921AD"/>
    <w:rsid w:val="003E2086"/>
    <w:rsid w:val="00416288"/>
    <w:rsid w:val="004344DF"/>
    <w:rsid w:val="004544D1"/>
    <w:rsid w:val="00455BE8"/>
    <w:rsid w:val="00456533"/>
    <w:rsid w:val="00461FC3"/>
    <w:rsid w:val="00463C73"/>
    <w:rsid w:val="004854C3"/>
    <w:rsid w:val="004A38DC"/>
    <w:rsid w:val="004A7D7B"/>
    <w:rsid w:val="004C722F"/>
    <w:rsid w:val="004D7EA2"/>
    <w:rsid w:val="004F687B"/>
    <w:rsid w:val="005009AA"/>
    <w:rsid w:val="00512954"/>
    <w:rsid w:val="00513183"/>
    <w:rsid w:val="005240EC"/>
    <w:rsid w:val="0057685F"/>
    <w:rsid w:val="00610CCF"/>
    <w:rsid w:val="00615C5E"/>
    <w:rsid w:val="006A37C0"/>
    <w:rsid w:val="006B7D73"/>
    <w:rsid w:val="006D73CE"/>
    <w:rsid w:val="006F356D"/>
    <w:rsid w:val="00710253"/>
    <w:rsid w:val="00721FE4"/>
    <w:rsid w:val="007509DF"/>
    <w:rsid w:val="00774D2D"/>
    <w:rsid w:val="007B403E"/>
    <w:rsid w:val="007D3635"/>
    <w:rsid w:val="0081128B"/>
    <w:rsid w:val="00871554"/>
    <w:rsid w:val="008A7EC2"/>
    <w:rsid w:val="008B115E"/>
    <w:rsid w:val="008B156A"/>
    <w:rsid w:val="008B193B"/>
    <w:rsid w:val="008B5410"/>
    <w:rsid w:val="008E1B8D"/>
    <w:rsid w:val="008F0812"/>
    <w:rsid w:val="009375FB"/>
    <w:rsid w:val="00941ABE"/>
    <w:rsid w:val="00946970"/>
    <w:rsid w:val="00951F7B"/>
    <w:rsid w:val="0097265B"/>
    <w:rsid w:val="00982CC9"/>
    <w:rsid w:val="00A002A1"/>
    <w:rsid w:val="00A12213"/>
    <w:rsid w:val="00A13D3E"/>
    <w:rsid w:val="00A63ED2"/>
    <w:rsid w:val="00A86DB0"/>
    <w:rsid w:val="00AD11F3"/>
    <w:rsid w:val="00AD32AB"/>
    <w:rsid w:val="00AF6D1E"/>
    <w:rsid w:val="00B2664E"/>
    <w:rsid w:val="00B378A4"/>
    <w:rsid w:val="00B62226"/>
    <w:rsid w:val="00BA3A28"/>
    <w:rsid w:val="00BA791D"/>
    <w:rsid w:val="00BA7F36"/>
    <w:rsid w:val="00BD2D08"/>
    <w:rsid w:val="00BD4900"/>
    <w:rsid w:val="00BE5799"/>
    <w:rsid w:val="00C010DD"/>
    <w:rsid w:val="00C01DA4"/>
    <w:rsid w:val="00C121A3"/>
    <w:rsid w:val="00C5113C"/>
    <w:rsid w:val="00C81EA0"/>
    <w:rsid w:val="00CA74FA"/>
    <w:rsid w:val="00CC1C4F"/>
    <w:rsid w:val="00CE26ED"/>
    <w:rsid w:val="00D469C1"/>
    <w:rsid w:val="00D64100"/>
    <w:rsid w:val="00D71608"/>
    <w:rsid w:val="00DA4758"/>
    <w:rsid w:val="00DC2D0D"/>
    <w:rsid w:val="00DC623A"/>
    <w:rsid w:val="00E03BF0"/>
    <w:rsid w:val="00E33DA7"/>
    <w:rsid w:val="00E3FDF3"/>
    <w:rsid w:val="00E5604F"/>
    <w:rsid w:val="00E82637"/>
    <w:rsid w:val="00EC2EF6"/>
    <w:rsid w:val="00ED3D68"/>
    <w:rsid w:val="00F016A3"/>
    <w:rsid w:val="00F029C4"/>
    <w:rsid w:val="00F76B22"/>
    <w:rsid w:val="00FB5B39"/>
    <w:rsid w:val="00FE520A"/>
    <w:rsid w:val="00FF4264"/>
    <w:rsid w:val="00FF62F1"/>
    <w:rsid w:val="0255555C"/>
    <w:rsid w:val="0384BEA6"/>
    <w:rsid w:val="03F78C07"/>
    <w:rsid w:val="0423AEB0"/>
    <w:rsid w:val="0864A65F"/>
    <w:rsid w:val="0886328F"/>
    <w:rsid w:val="0891C679"/>
    <w:rsid w:val="090599D6"/>
    <w:rsid w:val="0AA9C4D9"/>
    <w:rsid w:val="0C473AF3"/>
    <w:rsid w:val="0E5668F4"/>
    <w:rsid w:val="0F3F40A5"/>
    <w:rsid w:val="10C8CBA7"/>
    <w:rsid w:val="1102066F"/>
    <w:rsid w:val="12AE6876"/>
    <w:rsid w:val="14D462EA"/>
    <w:rsid w:val="14E53FE8"/>
    <w:rsid w:val="16FCC100"/>
    <w:rsid w:val="1742B026"/>
    <w:rsid w:val="1885C420"/>
    <w:rsid w:val="190624B2"/>
    <w:rsid w:val="1D7CB2AB"/>
    <w:rsid w:val="1F6AB4AD"/>
    <w:rsid w:val="215247F3"/>
    <w:rsid w:val="2366C04E"/>
    <w:rsid w:val="262E20AE"/>
    <w:rsid w:val="2788C882"/>
    <w:rsid w:val="2B59FD2F"/>
    <w:rsid w:val="2B73F7BD"/>
    <w:rsid w:val="2D694664"/>
    <w:rsid w:val="2DC8880D"/>
    <w:rsid w:val="2E4CDB38"/>
    <w:rsid w:val="2E756511"/>
    <w:rsid w:val="2EABC95F"/>
    <w:rsid w:val="310C8C59"/>
    <w:rsid w:val="3214C6D2"/>
    <w:rsid w:val="32938C6F"/>
    <w:rsid w:val="33683A98"/>
    <w:rsid w:val="348213CB"/>
    <w:rsid w:val="35C04338"/>
    <w:rsid w:val="3626D315"/>
    <w:rsid w:val="378BCC9A"/>
    <w:rsid w:val="3910C50C"/>
    <w:rsid w:val="39C0B62C"/>
    <w:rsid w:val="3B0F5BB4"/>
    <w:rsid w:val="3C40929A"/>
    <w:rsid w:val="3D7C3853"/>
    <w:rsid w:val="40A4A6E3"/>
    <w:rsid w:val="40BDE0AE"/>
    <w:rsid w:val="4153736C"/>
    <w:rsid w:val="41940740"/>
    <w:rsid w:val="420E6934"/>
    <w:rsid w:val="4248A4E0"/>
    <w:rsid w:val="443719FB"/>
    <w:rsid w:val="4682AF37"/>
    <w:rsid w:val="4A312213"/>
    <w:rsid w:val="4AD175A7"/>
    <w:rsid w:val="539F7522"/>
    <w:rsid w:val="550A1656"/>
    <w:rsid w:val="568E84A9"/>
    <w:rsid w:val="572911B0"/>
    <w:rsid w:val="5820187B"/>
    <w:rsid w:val="5B3976D9"/>
    <w:rsid w:val="5C148552"/>
    <w:rsid w:val="5EDC0579"/>
    <w:rsid w:val="5EDDDD65"/>
    <w:rsid w:val="60F35AD7"/>
    <w:rsid w:val="6156A14E"/>
    <w:rsid w:val="62636BDB"/>
    <w:rsid w:val="629757E0"/>
    <w:rsid w:val="6297E845"/>
    <w:rsid w:val="63CC2739"/>
    <w:rsid w:val="6560B3E8"/>
    <w:rsid w:val="65E86BCA"/>
    <w:rsid w:val="66A35B11"/>
    <w:rsid w:val="66DAB2FF"/>
    <w:rsid w:val="69438210"/>
    <w:rsid w:val="69816609"/>
    <w:rsid w:val="6A1ED775"/>
    <w:rsid w:val="6BE33E21"/>
    <w:rsid w:val="6D36A9B8"/>
    <w:rsid w:val="6DF07708"/>
    <w:rsid w:val="6E157970"/>
    <w:rsid w:val="6ED65C6C"/>
    <w:rsid w:val="6F2FD485"/>
    <w:rsid w:val="6FCE8FBB"/>
    <w:rsid w:val="72FEAE80"/>
    <w:rsid w:val="735221CD"/>
    <w:rsid w:val="73C7DBE5"/>
    <w:rsid w:val="76AFF2A2"/>
    <w:rsid w:val="78F582C5"/>
    <w:rsid w:val="795A8269"/>
    <w:rsid w:val="7BD66604"/>
    <w:rsid w:val="7DDF9918"/>
    <w:rsid w:val="7F37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E4A"/>
  <w15:chartTrackingRefBased/>
  <w15:docId w15:val="{8F91CE19-0BCF-4FCF-8AD8-A53C06D5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21FE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4A7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4A7D7B"/>
  </w:style>
  <w:style w:type="character" w:styleId="Hyperlink">
    <w:name w:val="Hyperlink"/>
    <w:basedOn w:val="DefaultParagraphFont"/>
    <w:uiPriority w:val="99"/>
    <w:semiHidden/>
    <w:unhideWhenUsed/>
    <w:rsid w:val="004A7D7B"/>
    <w:rPr>
      <w:color w:val="0000FF"/>
      <w:u w:val="single"/>
    </w:rPr>
  </w:style>
  <w:style w:type="paragraph" w:customStyle="1" w:styleId="psection-2">
    <w:name w:val="psection-2"/>
    <w:basedOn w:val="Normal"/>
    <w:rsid w:val="004A7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1FE4"/>
    <w:rPr>
      <w:rFonts w:eastAsiaTheme="minorEastAsia"/>
      <w:caps/>
      <w:spacing w:val="15"/>
      <w:sz w:val="20"/>
      <w:szCs w:val="20"/>
      <w:shd w:val="clear" w:color="auto" w:fill="DEEAF6" w:themeFill="accent1" w:themeFillTint="33"/>
    </w:rPr>
  </w:style>
  <w:style w:type="table" w:styleId="TableGrid">
    <w:name w:val="Table Grid"/>
    <w:basedOn w:val="TableNormal"/>
    <w:uiPriority w:val="39"/>
    <w:rsid w:val="006F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56D"/>
    <w:pPr>
      <w:ind w:left="720"/>
      <w:contextualSpacing/>
    </w:pPr>
  </w:style>
  <w:style w:type="paragraph" w:styleId="Header">
    <w:name w:val="header"/>
    <w:basedOn w:val="Normal"/>
    <w:link w:val="HeaderChar"/>
    <w:uiPriority w:val="99"/>
    <w:unhideWhenUsed/>
    <w:rsid w:val="00BA7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1D"/>
  </w:style>
  <w:style w:type="paragraph" w:styleId="Footer">
    <w:name w:val="footer"/>
    <w:basedOn w:val="Normal"/>
    <w:link w:val="FooterChar"/>
    <w:uiPriority w:val="99"/>
    <w:unhideWhenUsed/>
    <w:rsid w:val="00BA7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1D"/>
  </w:style>
  <w:style w:type="character" w:styleId="CommentReference">
    <w:name w:val="annotation reference"/>
    <w:basedOn w:val="DefaultParagraphFont"/>
    <w:uiPriority w:val="99"/>
    <w:semiHidden/>
    <w:unhideWhenUsed/>
    <w:rsid w:val="00C5113C"/>
    <w:rPr>
      <w:sz w:val="16"/>
      <w:szCs w:val="16"/>
    </w:rPr>
  </w:style>
  <w:style w:type="paragraph" w:styleId="CommentText">
    <w:name w:val="annotation text"/>
    <w:basedOn w:val="Normal"/>
    <w:link w:val="CommentTextChar"/>
    <w:uiPriority w:val="99"/>
    <w:semiHidden/>
    <w:unhideWhenUsed/>
    <w:rsid w:val="00C5113C"/>
    <w:pPr>
      <w:spacing w:line="240" w:lineRule="auto"/>
    </w:pPr>
    <w:rPr>
      <w:sz w:val="20"/>
      <w:szCs w:val="20"/>
    </w:rPr>
  </w:style>
  <w:style w:type="character" w:customStyle="1" w:styleId="CommentTextChar">
    <w:name w:val="Comment Text Char"/>
    <w:basedOn w:val="DefaultParagraphFont"/>
    <w:link w:val="CommentText"/>
    <w:uiPriority w:val="99"/>
    <w:semiHidden/>
    <w:rsid w:val="00C5113C"/>
    <w:rPr>
      <w:sz w:val="20"/>
      <w:szCs w:val="20"/>
    </w:rPr>
  </w:style>
  <w:style w:type="paragraph" w:styleId="CommentSubject">
    <w:name w:val="annotation subject"/>
    <w:basedOn w:val="CommentText"/>
    <w:next w:val="CommentText"/>
    <w:link w:val="CommentSubjectChar"/>
    <w:uiPriority w:val="99"/>
    <w:semiHidden/>
    <w:unhideWhenUsed/>
    <w:rsid w:val="00C5113C"/>
    <w:rPr>
      <w:b/>
      <w:bCs/>
    </w:rPr>
  </w:style>
  <w:style w:type="character" w:customStyle="1" w:styleId="CommentSubjectChar">
    <w:name w:val="Comment Subject Char"/>
    <w:basedOn w:val="CommentTextChar"/>
    <w:link w:val="CommentSubject"/>
    <w:uiPriority w:val="99"/>
    <w:semiHidden/>
    <w:rsid w:val="00C5113C"/>
    <w:rPr>
      <w:b/>
      <w:bCs/>
      <w:sz w:val="20"/>
      <w:szCs w:val="20"/>
    </w:rPr>
  </w:style>
  <w:style w:type="paragraph" w:styleId="BalloonText">
    <w:name w:val="Balloon Text"/>
    <w:basedOn w:val="Normal"/>
    <w:link w:val="BalloonTextChar"/>
    <w:uiPriority w:val="99"/>
    <w:semiHidden/>
    <w:unhideWhenUsed/>
    <w:rsid w:val="00C5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3C"/>
    <w:rPr>
      <w:rFonts w:ascii="Segoe UI" w:hAnsi="Segoe UI" w:cs="Segoe UI"/>
      <w:sz w:val="18"/>
      <w:szCs w:val="18"/>
    </w:rPr>
  </w:style>
  <w:style w:type="paragraph" w:styleId="FootnoteText">
    <w:name w:val="footnote text"/>
    <w:basedOn w:val="Normal"/>
    <w:link w:val="FootnoteTextChar"/>
    <w:uiPriority w:val="99"/>
    <w:semiHidden/>
    <w:unhideWhenUsed/>
    <w:rsid w:val="00512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954"/>
    <w:rPr>
      <w:sz w:val="20"/>
      <w:szCs w:val="20"/>
    </w:rPr>
  </w:style>
  <w:style w:type="character" w:styleId="FootnoteReference">
    <w:name w:val="footnote reference"/>
    <w:basedOn w:val="DefaultParagraphFont"/>
    <w:uiPriority w:val="99"/>
    <w:semiHidden/>
    <w:unhideWhenUsed/>
    <w:rsid w:val="00512954"/>
    <w:rPr>
      <w:vertAlign w:val="superscript"/>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5feaff170f964f1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69db084a36af4ae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A454-C904-48E9-9585-B1636FEF96EE}">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765d9d9-734f-4e40-bf37-76520b71712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7E4C1F-1F60-45F0-A688-84EC881732D1}">
  <ds:schemaRefs>
    <ds:schemaRef ds:uri="http://schemas.microsoft.com/sharepoint/v3/contenttype/forms"/>
  </ds:schemaRefs>
</ds:datastoreItem>
</file>

<file path=customXml/itemProps3.xml><?xml version="1.0" encoding="utf-8"?>
<ds:datastoreItem xmlns:ds="http://schemas.openxmlformats.org/officeDocument/2006/customXml" ds:itemID="{BF0D09AA-8FA6-479F-8FB3-52CAB07FC8BC}"/>
</file>

<file path=customXml/itemProps4.xml><?xml version="1.0" encoding="utf-8"?>
<ds:datastoreItem xmlns:ds="http://schemas.openxmlformats.org/officeDocument/2006/customXml" ds:itemID="{8D6AA8A3-041A-41BF-8888-9530E2E4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Ehling, Kathleen</dc:creator>
  <cp:keywords/>
  <dc:description/>
  <cp:lastModifiedBy>Ehling, Kathleen</cp:lastModifiedBy>
  <cp:revision>3</cp:revision>
  <cp:lastPrinted>2019-10-29T15:50:00Z</cp:lastPrinted>
  <dcterms:created xsi:type="dcterms:W3CDTF">2020-06-11T17:27:00Z</dcterms:created>
  <dcterms:modified xsi:type="dcterms:W3CDTF">2020-06-11T17:30:00Z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108983700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