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621"/>
        <w:tblW w:w="0" w:type="auto"/>
        <w:tblLook w:val="04A0" w:firstRow="1" w:lastRow="0" w:firstColumn="1" w:lastColumn="0" w:noHBand="0" w:noVBand="1"/>
      </w:tblPr>
      <w:tblGrid>
        <w:gridCol w:w="3426"/>
        <w:gridCol w:w="2754"/>
        <w:gridCol w:w="1569"/>
        <w:gridCol w:w="1601"/>
      </w:tblGrid>
      <w:tr w:rsidR="00C3750A" w:rsidRPr="00876A8F" w14:paraId="0BCC3E85" w14:textId="77777777" w:rsidTr="00876A8F">
        <w:tc>
          <w:tcPr>
            <w:tcW w:w="3505" w:type="dxa"/>
          </w:tcPr>
          <w:p w14:paraId="435A1BA2" w14:textId="77777777" w:rsidR="00C3750A" w:rsidRPr="00876A8F" w:rsidRDefault="00C3750A" w:rsidP="00876A8F">
            <w:pPr>
              <w:rPr>
                <w:b/>
                <w:u w:val="single"/>
              </w:rPr>
            </w:pPr>
            <w:r w:rsidRPr="00876A8F">
              <w:rPr>
                <w:b/>
                <w:u w:val="single"/>
              </w:rPr>
              <w:t>Program/Initiative</w:t>
            </w:r>
          </w:p>
        </w:tc>
        <w:tc>
          <w:tcPr>
            <w:tcW w:w="2790" w:type="dxa"/>
          </w:tcPr>
          <w:p w14:paraId="72E2FA41" w14:textId="77777777" w:rsidR="00C3750A" w:rsidRPr="00876A8F" w:rsidRDefault="00C3750A" w:rsidP="00876A8F">
            <w:pPr>
              <w:rPr>
                <w:b/>
                <w:u w:val="single"/>
              </w:rPr>
            </w:pPr>
            <w:r w:rsidRPr="00876A8F">
              <w:rPr>
                <w:b/>
                <w:u w:val="single"/>
              </w:rPr>
              <w:t>Lead Office/Employee Responsible</w:t>
            </w:r>
          </w:p>
        </w:tc>
        <w:tc>
          <w:tcPr>
            <w:tcW w:w="1440" w:type="dxa"/>
          </w:tcPr>
          <w:p w14:paraId="669430B8" w14:textId="77777777" w:rsidR="00C3750A" w:rsidRDefault="00866107" w:rsidP="00876A8F">
            <w:pPr>
              <w:rPr>
                <w:b/>
                <w:u w:val="single"/>
              </w:rPr>
            </w:pPr>
            <w:r>
              <w:rPr>
                <w:b/>
                <w:u w:val="single"/>
              </w:rPr>
              <w:t>Contract</w:t>
            </w:r>
            <w:r w:rsidR="007D70B4">
              <w:rPr>
                <w:b/>
                <w:u w:val="single"/>
              </w:rPr>
              <w:t xml:space="preserve"> and Administrative Charges</w:t>
            </w:r>
          </w:p>
          <w:p w14:paraId="08A778BE" w14:textId="43F69A8F" w:rsidR="007D70B4" w:rsidRPr="00876A8F" w:rsidRDefault="007D70B4" w:rsidP="00876A8F">
            <w:pPr>
              <w:rPr>
                <w:b/>
                <w:u w:val="single"/>
              </w:rPr>
            </w:pPr>
          </w:p>
        </w:tc>
        <w:tc>
          <w:tcPr>
            <w:tcW w:w="1615" w:type="dxa"/>
          </w:tcPr>
          <w:p w14:paraId="1BCFBE82" w14:textId="77777777" w:rsidR="00C3750A" w:rsidRPr="00876A8F" w:rsidRDefault="00866107" w:rsidP="00876A8F">
            <w:pPr>
              <w:rPr>
                <w:b/>
                <w:u w:val="single"/>
              </w:rPr>
            </w:pPr>
            <w:r>
              <w:rPr>
                <w:b/>
                <w:u w:val="single"/>
              </w:rPr>
              <w:t>Grant</w:t>
            </w:r>
          </w:p>
        </w:tc>
      </w:tr>
      <w:tr w:rsidR="00C3750A" w:rsidRPr="00876A8F" w14:paraId="52C92C63" w14:textId="77777777" w:rsidTr="00876A8F">
        <w:tc>
          <w:tcPr>
            <w:tcW w:w="3505" w:type="dxa"/>
          </w:tcPr>
          <w:p w14:paraId="35873E1F" w14:textId="77777777" w:rsidR="00C3750A" w:rsidRPr="00876A8F" w:rsidRDefault="00C3750A" w:rsidP="00876A8F">
            <w:r w:rsidRPr="00876A8F">
              <w:t>Pre-K – 3 Progress Monitoring and Data Informed Supports</w:t>
            </w:r>
          </w:p>
        </w:tc>
        <w:tc>
          <w:tcPr>
            <w:tcW w:w="2790" w:type="dxa"/>
          </w:tcPr>
          <w:p w14:paraId="206701E2" w14:textId="77777777" w:rsidR="00C3750A" w:rsidRPr="00876A8F" w:rsidRDefault="00C3750A" w:rsidP="00866107">
            <w:r w:rsidRPr="00876A8F">
              <w:t>Just Read, Florida!</w:t>
            </w:r>
            <w:r w:rsidR="00866107">
              <w:t>/Paul Burns</w:t>
            </w:r>
          </w:p>
        </w:tc>
        <w:tc>
          <w:tcPr>
            <w:tcW w:w="1440" w:type="dxa"/>
          </w:tcPr>
          <w:p w14:paraId="2ABFEDAE" w14:textId="77777777" w:rsidR="00866107" w:rsidRPr="00876A8F" w:rsidRDefault="00866107" w:rsidP="00866107">
            <w:pPr>
              <w:jc w:val="right"/>
            </w:pPr>
            <w:r>
              <w:t>$4,000,000</w:t>
            </w:r>
          </w:p>
        </w:tc>
        <w:tc>
          <w:tcPr>
            <w:tcW w:w="1615" w:type="dxa"/>
          </w:tcPr>
          <w:p w14:paraId="200DF6FE" w14:textId="77777777" w:rsidR="00C3750A" w:rsidRPr="00876A8F" w:rsidRDefault="00C3750A" w:rsidP="00866107">
            <w:pPr>
              <w:tabs>
                <w:tab w:val="right" w:pos="1336"/>
              </w:tabs>
              <w:jc w:val="right"/>
            </w:pPr>
            <w:r w:rsidRPr="00876A8F">
              <w:t>$</w:t>
            </w:r>
            <w:r w:rsidR="00866107">
              <w:t>16</w:t>
            </w:r>
            <w:r w:rsidRPr="00876A8F">
              <w:t>,000,000</w:t>
            </w:r>
          </w:p>
        </w:tc>
      </w:tr>
      <w:tr w:rsidR="00C3750A" w:rsidRPr="00876A8F" w14:paraId="0F981037" w14:textId="77777777" w:rsidTr="00876A8F">
        <w:tc>
          <w:tcPr>
            <w:tcW w:w="3505" w:type="dxa"/>
          </w:tcPr>
          <w:p w14:paraId="0AB8C210" w14:textId="77777777" w:rsidR="00C3750A" w:rsidRPr="00876A8F" w:rsidRDefault="00C3750A" w:rsidP="00876A8F">
            <w:r w:rsidRPr="00876A8F">
              <w:t>Upskill Highly Effective Reading Coaches</w:t>
            </w:r>
          </w:p>
        </w:tc>
        <w:tc>
          <w:tcPr>
            <w:tcW w:w="2790" w:type="dxa"/>
          </w:tcPr>
          <w:p w14:paraId="6CF98918" w14:textId="77777777" w:rsidR="00C3750A" w:rsidRPr="00876A8F" w:rsidRDefault="00866107" w:rsidP="00866107">
            <w:r w:rsidRPr="00866107">
              <w:t>Just Read, Florida!</w:t>
            </w:r>
            <w:r>
              <w:t>/Paul Burns</w:t>
            </w:r>
          </w:p>
        </w:tc>
        <w:tc>
          <w:tcPr>
            <w:tcW w:w="1440" w:type="dxa"/>
          </w:tcPr>
          <w:p w14:paraId="3C0D6125" w14:textId="77777777" w:rsidR="00C3750A" w:rsidRPr="00876A8F" w:rsidRDefault="00C3750A" w:rsidP="00866107">
            <w:pPr>
              <w:jc w:val="right"/>
            </w:pPr>
          </w:p>
        </w:tc>
        <w:tc>
          <w:tcPr>
            <w:tcW w:w="1615" w:type="dxa"/>
          </w:tcPr>
          <w:p w14:paraId="685492FE" w14:textId="77777777" w:rsidR="00C3750A" w:rsidRPr="00876A8F" w:rsidRDefault="00C3750A" w:rsidP="00876A8F">
            <w:pPr>
              <w:tabs>
                <w:tab w:val="right" w:pos="1336"/>
              </w:tabs>
              <w:jc w:val="right"/>
            </w:pPr>
            <w:r w:rsidRPr="00876A8F">
              <w:t>$5,000,000</w:t>
            </w:r>
          </w:p>
        </w:tc>
      </w:tr>
      <w:tr w:rsidR="00C3750A" w:rsidRPr="00876A8F" w14:paraId="3AD321A4" w14:textId="77777777" w:rsidTr="00876A8F">
        <w:tc>
          <w:tcPr>
            <w:tcW w:w="3505" w:type="dxa"/>
          </w:tcPr>
          <w:p w14:paraId="57B2BDB5" w14:textId="77777777" w:rsidR="00C3750A" w:rsidRPr="00876A8F" w:rsidRDefault="00C3750A" w:rsidP="00876A8F">
            <w:r w:rsidRPr="00876A8F">
              <w:t>Capacity Building for Reading</w:t>
            </w:r>
          </w:p>
        </w:tc>
        <w:tc>
          <w:tcPr>
            <w:tcW w:w="2790" w:type="dxa"/>
          </w:tcPr>
          <w:p w14:paraId="7F24BDA3" w14:textId="77777777" w:rsidR="00C3750A" w:rsidRPr="00876A8F" w:rsidRDefault="00866107" w:rsidP="00866107">
            <w:r w:rsidRPr="00866107">
              <w:t>Just Read, Florida!</w:t>
            </w:r>
            <w:r>
              <w:t>/Paul Burns</w:t>
            </w:r>
          </w:p>
        </w:tc>
        <w:tc>
          <w:tcPr>
            <w:tcW w:w="1440" w:type="dxa"/>
          </w:tcPr>
          <w:p w14:paraId="3F8C2434" w14:textId="77777777" w:rsidR="00C3750A" w:rsidRPr="00876A8F" w:rsidRDefault="00C3750A" w:rsidP="00866107">
            <w:pPr>
              <w:jc w:val="right"/>
            </w:pPr>
          </w:p>
        </w:tc>
        <w:tc>
          <w:tcPr>
            <w:tcW w:w="1615" w:type="dxa"/>
          </w:tcPr>
          <w:p w14:paraId="7E55C0D2" w14:textId="77777777" w:rsidR="00C3750A" w:rsidRPr="00876A8F" w:rsidRDefault="00C3750A" w:rsidP="00876A8F">
            <w:pPr>
              <w:tabs>
                <w:tab w:val="right" w:pos="1336"/>
              </w:tabs>
              <w:jc w:val="right"/>
            </w:pPr>
            <w:r w:rsidRPr="00876A8F">
              <w:t>$5,000,000</w:t>
            </w:r>
          </w:p>
        </w:tc>
      </w:tr>
      <w:tr w:rsidR="00C3750A" w:rsidRPr="00876A8F" w14:paraId="1F73C1EE" w14:textId="77777777" w:rsidTr="00876A8F">
        <w:tc>
          <w:tcPr>
            <w:tcW w:w="3505" w:type="dxa"/>
          </w:tcPr>
          <w:p w14:paraId="50BE530A" w14:textId="77777777" w:rsidR="00C3750A" w:rsidRPr="00876A8F" w:rsidRDefault="00C3750A" w:rsidP="00876A8F">
            <w:r w:rsidRPr="00876A8F">
              <w:t>Ensuring High Quality Regional Supports</w:t>
            </w:r>
          </w:p>
        </w:tc>
        <w:tc>
          <w:tcPr>
            <w:tcW w:w="2790" w:type="dxa"/>
          </w:tcPr>
          <w:p w14:paraId="308484E5" w14:textId="77777777" w:rsidR="00C3750A" w:rsidRPr="00876A8F" w:rsidRDefault="00866107" w:rsidP="00876A8F">
            <w:r w:rsidRPr="00866107">
              <w:t>Just Read, Florida!/Paul Burns</w:t>
            </w:r>
          </w:p>
        </w:tc>
        <w:tc>
          <w:tcPr>
            <w:tcW w:w="1440" w:type="dxa"/>
          </w:tcPr>
          <w:p w14:paraId="66EB0BFF" w14:textId="77777777" w:rsidR="00C3750A" w:rsidRPr="00876A8F" w:rsidRDefault="00C3750A" w:rsidP="00866107">
            <w:pPr>
              <w:jc w:val="right"/>
            </w:pPr>
          </w:p>
        </w:tc>
        <w:tc>
          <w:tcPr>
            <w:tcW w:w="1615" w:type="dxa"/>
          </w:tcPr>
          <w:p w14:paraId="6238286D" w14:textId="77777777" w:rsidR="00C3750A" w:rsidRPr="00876A8F" w:rsidRDefault="00C3750A" w:rsidP="00876A8F">
            <w:pPr>
              <w:tabs>
                <w:tab w:val="right" w:pos="1336"/>
              </w:tabs>
              <w:jc w:val="right"/>
            </w:pPr>
            <w:r w:rsidRPr="00876A8F">
              <w:t>$5,000,000</w:t>
            </w:r>
          </w:p>
        </w:tc>
      </w:tr>
      <w:tr w:rsidR="00C3750A" w:rsidRPr="00876A8F" w14:paraId="2C3F9E98" w14:textId="77777777" w:rsidTr="00876A8F">
        <w:tc>
          <w:tcPr>
            <w:tcW w:w="3505" w:type="dxa"/>
          </w:tcPr>
          <w:p w14:paraId="36E38341" w14:textId="77777777" w:rsidR="00C3750A" w:rsidRPr="00876A8F" w:rsidRDefault="00C3750A" w:rsidP="00876A8F">
            <w:r w:rsidRPr="00876A8F">
              <w:t>Ensuring the B.E.S.T. Curriculum for Reading and Civics</w:t>
            </w:r>
          </w:p>
        </w:tc>
        <w:tc>
          <w:tcPr>
            <w:tcW w:w="2790" w:type="dxa"/>
          </w:tcPr>
          <w:p w14:paraId="512F2C81" w14:textId="77777777" w:rsidR="00C3750A" w:rsidRPr="00876A8F" w:rsidRDefault="00561A89" w:rsidP="00876A8F">
            <w:r>
              <w:t>Division of K-12 Public Schools/Melissa Ramsey</w:t>
            </w:r>
          </w:p>
        </w:tc>
        <w:tc>
          <w:tcPr>
            <w:tcW w:w="1440" w:type="dxa"/>
          </w:tcPr>
          <w:p w14:paraId="19CB2D2D" w14:textId="77777777" w:rsidR="00C3750A" w:rsidRPr="00876A8F" w:rsidRDefault="00C3750A" w:rsidP="00866107">
            <w:pPr>
              <w:jc w:val="right"/>
            </w:pPr>
          </w:p>
        </w:tc>
        <w:tc>
          <w:tcPr>
            <w:tcW w:w="1615" w:type="dxa"/>
          </w:tcPr>
          <w:p w14:paraId="2290E8CC" w14:textId="77777777" w:rsidR="00C3750A" w:rsidRPr="00876A8F" w:rsidRDefault="00C3750A" w:rsidP="00876A8F">
            <w:pPr>
              <w:tabs>
                <w:tab w:val="right" w:pos="1336"/>
              </w:tabs>
              <w:jc w:val="right"/>
            </w:pPr>
            <w:r w:rsidRPr="00876A8F">
              <w:t>$20,000,000</w:t>
            </w:r>
          </w:p>
        </w:tc>
      </w:tr>
      <w:tr w:rsidR="00C3750A" w:rsidRPr="00876A8F" w14:paraId="04CD84A4" w14:textId="77777777" w:rsidTr="00876A8F">
        <w:tc>
          <w:tcPr>
            <w:tcW w:w="3505" w:type="dxa"/>
          </w:tcPr>
          <w:p w14:paraId="1FB407CF" w14:textId="77777777" w:rsidR="00C3750A" w:rsidRPr="00876A8F" w:rsidRDefault="00C3750A" w:rsidP="00876A8F">
            <w:r w:rsidRPr="00876A8F">
              <w:t>SAT/ACT</w:t>
            </w:r>
          </w:p>
        </w:tc>
        <w:tc>
          <w:tcPr>
            <w:tcW w:w="2790" w:type="dxa"/>
          </w:tcPr>
          <w:p w14:paraId="589C5AD4" w14:textId="47277CF9" w:rsidR="00C3750A" w:rsidRPr="00876A8F" w:rsidRDefault="00AA65DA" w:rsidP="00876A8F">
            <w:r>
              <w:t>Accountability, Research and Measurement/Vince Verges</w:t>
            </w:r>
          </w:p>
        </w:tc>
        <w:tc>
          <w:tcPr>
            <w:tcW w:w="1440" w:type="dxa"/>
          </w:tcPr>
          <w:p w14:paraId="01554D90" w14:textId="77777777" w:rsidR="00C3750A" w:rsidRPr="00876A8F" w:rsidRDefault="00561A89" w:rsidP="00866107">
            <w:pPr>
              <w:jc w:val="right"/>
            </w:pPr>
            <w:r w:rsidRPr="00561A89">
              <w:t>$8,000,000</w:t>
            </w:r>
          </w:p>
        </w:tc>
        <w:tc>
          <w:tcPr>
            <w:tcW w:w="1615" w:type="dxa"/>
          </w:tcPr>
          <w:p w14:paraId="408D38EC" w14:textId="77777777" w:rsidR="00C3750A" w:rsidRPr="00876A8F" w:rsidRDefault="00C3750A" w:rsidP="00876A8F">
            <w:pPr>
              <w:tabs>
                <w:tab w:val="right" w:pos="1336"/>
              </w:tabs>
              <w:jc w:val="right"/>
            </w:pPr>
          </w:p>
        </w:tc>
      </w:tr>
      <w:tr w:rsidR="00A956C0" w:rsidRPr="00876A8F" w14:paraId="59D54314" w14:textId="77777777" w:rsidTr="00876A8F">
        <w:tc>
          <w:tcPr>
            <w:tcW w:w="3505" w:type="dxa"/>
          </w:tcPr>
          <w:p w14:paraId="5B662A6B" w14:textId="77777777" w:rsidR="00A956C0" w:rsidRPr="00876A8F" w:rsidRDefault="00A956C0" w:rsidP="00A956C0">
            <w:r w:rsidRPr="00876A8F">
              <w:t>Instructional Continuity Plans</w:t>
            </w:r>
          </w:p>
        </w:tc>
        <w:tc>
          <w:tcPr>
            <w:tcW w:w="2790" w:type="dxa"/>
          </w:tcPr>
          <w:p w14:paraId="79763677" w14:textId="77777777" w:rsidR="00A956C0" w:rsidRPr="00876A8F" w:rsidRDefault="00A956C0" w:rsidP="00A956C0">
            <w:r>
              <w:t>Division of K-12 Public Schools/Melissa Ramsey</w:t>
            </w:r>
          </w:p>
        </w:tc>
        <w:tc>
          <w:tcPr>
            <w:tcW w:w="1440" w:type="dxa"/>
          </w:tcPr>
          <w:p w14:paraId="47146D24" w14:textId="77777777" w:rsidR="00A956C0" w:rsidRPr="00876A8F" w:rsidRDefault="00A956C0" w:rsidP="00A956C0">
            <w:pPr>
              <w:jc w:val="right"/>
            </w:pPr>
          </w:p>
        </w:tc>
        <w:tc>
          <w:tcPr>
            <w:tcW w:w="1615" w:type="dxa"/>
          </w:tcPr>
          <w:p w14:paraId="75ABC5EE" w14:textId="77777777" w:rsidR="00A956C0" w:rsidRPr="00876A8F" w:rsidRDefault="00A956C0" w:rsidP="00A956C0">
            <w:pPr>
              <w:tabs>
                <w:tab w:val="right" w:pos="1336"/>
              </w:tabs>
              <w:jc w:val="right"/>
            </w:pPr>
            <w:r w:rsidRPr="00876A8F">
              <w:t>$8,000,000</w:t>
            </w:r>
          </w:p>
        </w:tc>
      </w:tr>
      <w:tr w:rsidR="00A956C0" w:rsidRPr="00876A8F" w14:paraId="63EE97DC" w14:textId="77777777" w:rsidTr="00876A8F">
        <w:tc>
          <w:tcPr>
            <w:tcW w:w="3505" w:type="dxa"/>
          </w:tcPr>
          <w:p w14:paraId="657B4DC6" w14:textId="77777777" w:rsidR="00A956C0" w:rsidRPr="00876A8F" w:rsidRDefault="00A956C0" w:rsidP="00A956C0">
            <w:r w:rsidRPr="00876A8F">
              <w:t>Virtual Safety Net</w:t>
            </w:r>
          </w:p>
        </w:tc>
        <w:tc>
          <w:tcPr>
            <w:tcW w:w="2790" w:type="dxa"/>
          </w:tcPr>
          <w:p w14:paraId="46639A44" w14:textId="38D71683" w:rsidR="00A956C0" w:rsidRPr="00876A8F" w:rsidRDefault="00733B89" w:rsidP="00A956C0">
            <w:r>
              <w:t>Office of Independent Education and Parental Choice/Dr. Dakeyan Graham</w:t>
            </w:r>
          </w:p>
        </w:tc>
        <w:tc>
          <w:tcPr>
            <w:tcW w:w="1440" w:type="dxa"/>
          </w:tcPr>
          <w:p w14:paraId="76220DC6" w14:textId="77777777" w:rsidR="00A956C0" w:rsidRPr="00876A8F" w:rsidRDefault="00A956C0" w:rsidP="00A956C0">
            <w:pPr>
              <w:jc w:val="right"/>
            </w:pPr>
          </w:p>
        </w:tc>
        <w:tc>
          <w:tcPr>
            <w:tcW w:w="1615" w:type="dxa"/>
          </w:tcPr>
          <w:p w14:paraId="1377546D" w14:textId="77777777" w:rsidR="00A956C0" w:rsidRPr="00876A8F" w:rsidRDefault="00A956C0" w:rsidP="00A956C0">
            <w:pPr>
              <w:tabs>
                <w:tab w:val="right" w:pos="1336"/>
              </w:tabs>
              <w:jc w:val="right"/>
            </w:pPr>
            <w:r w:rsidRPr="00876A8F">
              <w:t>$5,000,000</w:t>
            </w:r>
          </w:p>
        </w:tc>
      </w:tr>
      <w:tr w:rsidR="00451807" w:rsidRPr="00876A8F" w14:paraId="003E2620" w14:textId="77777777" w:rsidTr="00876A8F">
        <w:tc>
          <w:tcPr>
            <w:tcW w:w="3505" w:type="dxa"/>
          </w:tcPr>
          <w:p w14:paraId="5344D0F3" w14:textId="77777777" w:rsidR="00451807" w:rsidRPr="00876A8F" w:rsidRDefault="00451807" w:rsidP="00451807">
            <w:r w:rsidRPr="00876A8F">
              <w:t>Teacher Training on Virtual Learning Management Systems</w:t>
            </w:r>
          </w:p>
        </w:tc>
        <w:tc>
          <w:tcPr>
            <w:tcW w:w="2790" w:type="dxa"/>
          </w:tcPr>
          <w:p w14:paraId="1210E80D" w14:textId="16BFFC13" w:rsidR="00451807" w:rsidRPr="00876A8F" w:rsidRDefault="00733B89" w:rsidP="00451807">
            <w:r w:rsidRPr="00733B89">
              <w:t>Office of Independent Educat</w:t>
            </w:r>
            <w:r>
              <w:t>ion and Parental Choice/Dr. Dake</w:t>
            </w:r>
            <w:r w:rsidRPr="00733B89">
              <w:t>yan Graham</w:t>
            </w:r>
          </w:p>
        </w:tc>
        <w:tc>
          <w:tcPr>
            <w:tcW w:w="1440" w:type="dxa"/>
          </w:tcPr>
          <w:p w14:paraId="2DA2F22C" w14:textId="77777777" w:rsidR="00451807" w:rsidRPr="00876A8F" w:rsidRDefault="00451807" w:rsidP="00451807">
            <w:pPr>
              <w:jc w:val="right"/>
            </w:pPr>
          </w:p>
        </w:tc>
        <w:tc>
          <w:tcPr>
            <w:tcW w:w="1615" w:type="dxa"/>
          </w:tcPr>
          <w:p w14:paraId="5F314558" w14:textId="77777777" w:rsidR="00451807" w:rsidRPr="00876A8F" w:rsidRDefault="00451807" w:rsidP="00451807">
            <w:pPr>
              <w:tabs>
                <w:tab w:val="right" w:pos="1336"/>
              </w:tabs>
              <w:jc w:val="right"/>
            </w:pPr>
            <w:r w:rsidRPr="00876A8F">
              <w:t>$250,000</w:t>
            </w:r>
          </w:p>
        </w:tc>
      </w:tr>
      <w:tr w:rsidR="00451807" w:rsidRPr="00876A8F" w14:paraId="63608C64" w14:textId="77777777" w:rsidTr="00876A8F">
        <w:tc>
          <w:tcPr>
            <w:tcW w:w="3505" w:type="dxa"/>
          </w:tcPr>
          <w:p w14:paraId="6B495557" w14:textId="5E1DFBB4" w:rsidR="00451807" w:rsidRPr="00A956C0" w:rsidRDefault="00451807" w:rsidP="007D70B4">
            <w:pPr>
              <w:rPr>
                <w:highlight w:val="yellow"/>
              </w:rPr>
            </w:pPr>
            <w:r w:rsidRPr="00451807">
              <w:t xml:space="preserve">Administrative </w:t>
            </w:r>
          </w:p>
        </w:tc>
        <w:tc>
          <w:tcPr>
            <w:tcW w:w="2790" w:type="dxa"/>
          </w:tcPr>
          <w:p w14:paraId="775BE1E4" w14:textId="77777777" w:rsidR="00451807" w:rsidRPr="00A956C0" w:rsidRDefault="00451807" w:rsidP="00451807">
            <w:pPr>
              <w:rPr>
                <w:highlight w:val="yellow"/>
              </w:rPr>
            </w:pPr>
          </w:p>
        </w:tc>
        <w:tc>
          <w:tcPr>
            <w:tcW w:w="1440" w:type="dxa"/>
          </w:tcPr>
          <w:p w14:paraId="1AF5D6A6" w14:textId="259A258A" w:rsidR="00451807" w:rsidRPr="00A956C0" w:rsidRDefault="007D70B4" w:rsidP="00451807">
            <w:pPr>
              <w:jc w:val="right"/>
              <w:rPr>
                <w:highlight w:val="yellow"/>
              </w:rPr>
            </w:pPr>
            <w:r w:rsidRPr="007D70B4">
              <w:t>$387,000</w:t>
            </w:r>
          </w:p>
        </w:tc>
        <w:tc>
          <w:tcPr>
            <w:tcW w:w="1615" w:type="dxa"/>
          </w:tcPr>
          <w:p w14:paraId="64386AA8" w14:textId="578E1C29" w:rsidR="00451807" w:rsidRPr="00A956C0" w:rsidRDefault="00451807" w:rsidP="007D70B4">
            <w:pPr>
              <w:tabs>
                <w:tab w:val="right" w:pos="1336"/>
              </w:tabs>
              <w:jc w:val="right"/>
              <w:rPr>
                <w:highlight w:val="yellow"/>
              </w:rPr>
            </w:pPr>
          </w:p>
        </w:tc>
      </w:tr>
      <w:tr w:rsidR="00451807" w:rsidRPr="00876A8F" w14:paraId="61699FA6" w14:textId="77777777" w:rsidTr="00876A8F">
        <w:tc>
          <w:tcPr>
            <w:tcW w:w="3505" w:type="dxa"/>
          </w:tcPr>
          <w:p w14:paraId="1AB6CEB5" w14:textId="1E49AF3B" w:rsidR="00451807" w:rsidRPr="00451807" w:rsidRDefault="00451807" w:rsidP="00451807">
            <w:r w:rsidRPr="00451807">
              <w:t>Additional projects, TBD</w:t>
            </w:r>
          </w:p>
        </w:tc>
        <w:tc>
          <w:tcPr>
            <w:tcW w:w="2790" w:type="dxa"/>
          </w:tcPr>
          <w:p w14:paraId="7224BA3C" w14:textId="77777777" w:rsidR="00451807" w:rsidRPr="00876A8F" w:rsidRDefault="00451807" w:rsidP="00451807">
            <w:pPr>
              <w:rPr>
                <w:u w:val="single"/>
              </w:rPr>
            </w:pPr>
          </w:p>
        </w:tc>
        <w:tc>
          <w:tcPr>
            <w:tcW w:w="1440" w:type="dxa"/>
          </w:tcPr>
          <w:p w14:paraId="060990C1" w14:textId="77777777" w:rsidR="00451807" w:rsidRPr="00876A8F" w:rsidRDefault="00451807" w:rsidP="00451807">
            <w:pPr>
              <w:jc w:val="right"/>
              <w:rPr>
                <w:u w:val="single"/>
              </w:rPr>
            </w:pPr>
          </w:p>
        </w:tc>
        <w:tc>
          <w:tcPr>
            <w:tcW w:w="1615" w:type="dxa"/>
          </w:tcPr>
          <w:p w14:paraId="3802E074" w14:textId="16FC5322" w:rsidR="00451807" w:rsidRPr="007D70B4" w:rsidRDefault="007D70B4" w:rsidP="00451807">
            <w:pPr>
              <w:tabs>
                <w:tab w:val="right" w:pos="1336"/>
              </w:tabs>
              <w:jc w:val="right"/>
            </w:pPr>
            <w:r w:rsidRPr="007D70B4">
              <w:t>$387,785</w:t>
            </w:r>
          </w:p>
        </w:tc>
      </w:tr>
      <w:tr w:rsidR="00451807" w:rsidRPr="00876A8F" w14:paraId="3396B80F" w14:textId="77777777" w:rsidTr="007D70B4">
        <w:trPr>
          <w:trHeight w:val="77"/>
        </w:trPr>
        <w:tc>
          <w:tcPr>
            <w:tcW w:w="3505" w:type="dxa"/>
          </w:tcPr>
          <w:p w14:paraId="09F6BE9C" w14:textId="77777777" w:rsidR="00451807" w:rsidRPr="007D70B4" w:rsidRDefault="00451807" w:rsidP="00451807">
            <w:pPr>
              <w:rPr>
                <w:b/>
              </w:rPr>
            </w:pPr>
            <w:r w:rsidRPr="007D70B4">
              <w:rPr>
                <w:b/>
              </w:rPr>
              <w:t>Total</w:t>
            </w:r>
          </w:p>
        </w:tc>
        <w:tc>
          <w:tcPr>
            <w:tcW w:w="2790" w:type="dxa"/>
          </w:tcPr>
          <w:p w14:paraId="59FB17D3" w14:textId="77777777" w:rsidR="00451807" w:rsidRPr="00876A8F" w:rsidRDefault="00451807" w:rsidP="00451807">
            <w:pPr>
              <w:rPr>
                <w:u w:val="single"/>
              </w:rPr>
            </w:pPr>
          </w:p>
        </w:tc>
        <w:tc>
          <w:tcPr>
            <w:tcW w:w="1440" w:type="dxa"/>
          </w:tcPr>
          <w:p w14:paraId="10CDD97D" w14:textId="41762398" w:rsidR="00451807" w:rsidRPr="007D70B4" w:rsidRDefault="007D70B4" w:rsidP="00451807">
            <w:pPr>
              <w:jc w:val="right"/>
              <w:rPr>
                <w:b/>
              </w:rPr>
            </w:pPr>
            <w:r w:rsidRPr="007D70B4">
              <w:rPr>
                <w:b/>
              </w:rPr>
              <w:t>$12,387,000</w:t>
            </w:r>
          </w:p>
        </w:tc>
        <w:tc>
          <w:tcPr>
            <w:tcW w:w="1615" w:type="dxa"/>
          </w:tcPr>
          <w:p w14:paraId="441D5019" w14:textId="1CBE2F52" w:rsidR="00451807" w:rsidRPr="007D70B4" w:rsidRDefault="007D70B4" w:rsidP="00451807">
            <w:pPr>
              <w:tabs>
                <w:tab w:val="right" w:pos="1336"/>
              </w:tabs>
              <w:jc w:val="right"/>
              <w:rPr>
                <w:b/>
              </w:rPr>
            </w:pPr>
            <w:r>
              <w:rPr>
                <w:b/>
              </w:rPr>
              <w:t>64,637,785</w:t>
            </w:r>
          </w:p>
        </w:tc>
      </w:tr>
    </w:tbl>
    <w:p w14:paraId="381FDD48" w14:textId="77777777" w:rsidR="00876A8F" w:rsidRDefault="00876A8F" w:rsidP="00876A8F">
      <w:pPr>
        <w:jc w:val="center"/>
        <w:rPr>
          <w:b/>
        </w:rPr>
      </w:pPr>
      <w:r>
        <w:rPr>
          <w:b/>
        </w:rPr>
        <w:t>ED 524 BUDGET NARRATIVE – SECTION C</w:t>
      </w:r>
    </w:p>
    <w:p w14:paraId="3978F816" w14:textId="77777777" w:rsidR="009327F2" w:rsidRDefault="00876A8F" w:rsidP="00876A8F">
      <w:pPr>
        <w:jc w:val="center"/>
        <w:rPr>
          <w:b/>
        </w:rPr>
      </w:pPr>
      <w:r>
        <w:rPr>
          <w:b/>
        </w:rPr>
        <w:t xml:space="preserve"> STATE RESERVATION OF ESSER FUNDS</w:t>
      </w:r>
    </w:p>
    <w:p w14:paraId="70D2312A" w14:textId="77777777" w:rsidR="00876A8F" w:rsidRDefault="00876A8F" w:rsidP="00876A8F">
      <w:pPr>
        <w:jc w:val="center"/>
        <w:rPr>
          <w:b/>
        </w:rPr>
      </w:pPr>
      <w:r>
        <w:rPr>
          <w:b/>
        </w:rPr>
        <w:t xml:space="preserve">FLORIDA DEPARTMENT OF EDUCATION </w:t>
      </w:r>
    </w:p>
    <w:p w14:paraId="4AB51BE8" w14:textId="77777777" w:rsidR="00A956C0" w:rsidRDefault="00876A8F" w:rsidP="00876A8F">
      <w:pPr>
        <w:jc w:val="center"/>
        <w:rPr>
          <w:b/>
        </w:rPr>
      </w:pPr>
      <w:r>
        <w:rPr>
          <w:b/>
        </w:rPr>
        <w:t>JULY 2020</w:t>
      </w:r>
    </w:p>
    <w:p w14:paraId="20FC72AB" w14:textId="77777777" w:rsidR="00A956C0" w:rsidRPr="00A956C0" w:rsidRDefault="00A956C0" w:rsidP="00A956C0"/>
    <w:p w14:paraId="0FC7C65E" w14:textId="040207F9" w:rsidR="00A956C0" w:rsidRPr="00A956C0" w:rsidRDefault="00551B62" w:rsidP="00A956C0">
      <w:r>
        <w:t>The initiatives to be funded from the state-level reservation of ESSER funds are summarized in the table below. The budget narrative follows.</w:t>
      </w:r>
    </w:p>
    <w:p w14:paraId="08F7C437" w14:textId="77777777" w:rsidR="00A956C0" w:rsidRPr="00A956C0" w:rsidRDefault="00A956C0" w:rsidP="00A956C0"/>
    <w:p w14:paraId="242F1F77" w14:textId="387B342D" w:rsidR="00A956C0" w:rsidRPr="007D70B4" w:rsidRDefault="007D70B4" w:rsidP="002B1B52">
      <w:pPr>
        <w:tabs>
          <w:tab w:val="left" w:pos="1095"/>
          <w:tab w:val="right" w:pos="9360"/>
        </w:tabs>
      </w:pPr>
      <w:r w:rsidRPr="007D70B4">
        <w:rPr>
          <w:b/>
        </w:rPr>
        <w:t xml:space="preserve">Grand </w:t>
      </w:r>
      <w:r>
        <w:rPr>
          <w:b/>
        </w:rPr>
        <w:t>T</w:t>
      </w:r>
      <w:r w:rsidRPr="007D70B4">
        <w:rPr>
          <w:b/>
        </w:rPr>
        <w:t>otal:</w:t>
      </w:r>
      <w:r>
        <w:tab/>
      </w:r>
      <w:r w:rsidRPr="007D70B4">
        <w:rPr>
          <w:b/>
        </w:rPr>
        <w:t>77,024,785</w:t>
      </w:r>
    </w:p>
    <w:p w14:paraId="3ED6D586" w14:textId="77777777" w:rsidR="00A956C0" w:rsidRPr="00A956C0" w:rsidRDefault="00A956C0" w:rsidP="00A956C0"/>
    <w:p w14:paraId="52CA3F7C" w14:textId="2810E2F7" w:rsidR="00A956C0" w:rsidRDefault="00551B62" w:rsidP="00A956C0">
      <w:r>
        <w:rPr>
          <w:u w:val="single"/>
        </w:rPr>
        <w:t>Personnel</w:t>
      </w:r>
      <w:r>
        <w:t xml:space="preserve"> ($241,001)</w:t>
      </w:r>
    </w:p>
    <w:p w14:paraId="2ADFF0AD" w14:textId="3DFACB67" w:rsidR="00551B62" w:rsidRDefault="00551B62" w:rsidP="00A956C0">
      <w:r>
        <w:t>The Florida Department of Education</w:t>
      </w:r>
      <w:r w:rsidR="009E2970">
        <w:t xml:space="preserve"> (FDOE)</w:t>
      </w:r>
      <w:r>
        <w:t xml:space="preserve"> will reserve a total of $387,000 for administrative costs. Of this amount, $241,001 is estimated for salaries.</w:t>
      </w:r>
    </w:p>
    <w:p w14:paraId="01DA5C01" w14:textId="310851D4" w:rsidR="00551B62" w:rsidRDefault="00551B62" w:rsidP="00A956C0"/>
    <w:p w14:paraId="5A75068E" w14:textId="1FA883B6" w:rsidR="00551B62" w:rsidRDefault="00551B62" w:rsidP="00A956C0">
      <w:r w:rsidRPr="00551B62">
        <w:rPr>
          <w:u w:val="single"/>
        </w:rPr>
        <w:t>Fringe Benefits</w:t>
      </w:r>
      <w:r>
        <w:t xml:space="preserve"> ($84,350)</w:t>
      </w:r>
    </w:p>
    <w:p w14:paraId="433F28E3" w14:textId="5DAFA694" w:rsidR="00551B62" w:rsidRDefault="00551B62" w:rsidP="00551B62">
      <w:r w:rsidRPr="00551B62">
        <w:t xml:space="preserve">The </w:t>
      </w:r>
      <w:r w:rsidR="009E2970">
        <w:t>FDOE</w:t>
      </w:r>
      <w:r w:rsidRPr="00551B62">
        <w:t xml:space="preserve"> will reserve a total of $387,000 for administrative costs. Of this amount, $</w:t>
      </w:r>
      <w:r>
        <w:t>84,350</w:t>
      </w:r>
      <w:r w:rsidRPr="00551B62">
        <w:t xml:space="preserve"> is estimated for </w:t>
      </w:r>
      <w:r>
        <w:t>fringe benefits</w:t>
      </w:r>
      <w:r w:rsidRPr="00551B62">
        <w:t>.</w:t>
      </w:r>
    </w:p>
    <w:p w14:paraId="724907FE" w14:textId="76C49DCC" w:rsidR="00551B62" w:rsidRDefault="00551B62" w:rsidP="00551B62"/>
    <w:p w14:paraId="6FE68521" w14:textId="7BBE915E" w:rsidR="00551B62" w:rsidRDefault="00551B62" w:rsidP="00551B62">
      <w:r>
        <w:rPr>
          <w:u w:val="single"/>
        </w:rPr>
        <w:t xml:space="preserve">Contractual </w:t>
      </w:r>
      <w:r>
        <w:t>($12,000,000)</w:t>
      </w:r>
    </w:p>
    <w:p w14:paraId="58DBC18D" w14:textId="3F6A7ACA" w:rsidR="00551B62" w:rsidRDefault="00551B62" w:rsidP="00551B62">
      <w:r w:rsidRPr="009E2970">
        <w:rPr>
          <w:b/>
        </w:rPr>
        <w:t>Pre-K – 3 Progress Monitoring and Data Informed Supports.</w:t>
      </w:r>
      <w:r>
        <w:t xml:space="preserve"> ($4,000,000) – </w:t>
      </w:r>
    </w:p>
    <w:p w14:paraId="753C52E4" w14:textId="4B10D6B0" w:rsidR="00551B62" w:rsidRPr="00551B62" w:rsidRDefault="00551B62" w:rsidP="00551B62">
      <w:r>
        <w:t>The interruption of instructional</w:t>
      </w:r>
      <w:r w:rsidR="009E2970">
        <w:t xml:space="preserve"> services and the period of distance learning caused by COVID-19 will likely disproportionately impact the most vulnerable students. The recovery plan must include robust progress monitoring and data-informed supports to ensure that students do not fall behind. FDOE will source a modernized cloud based statewide data collection and student information system with the ability to serve all school districts and public charter schools, Pre-Kindergarten through 12</w:t>
      </w:r>
      <w:r w:rsidR="009E2970" w:rsidRPr="009E2970">
        <w:rPr>
          <w:vertAlign w:val="superscript"/>
        </w:rPr>
        <w:t>th</w:t>
      </w:r>
      <w:r w:rsidR="009E2970">
        <w:t xml:space="preserve"> grade, for the purposes of data collection, longitudinal analysis and progress monitoring and also all state and federal funding accountability and reporting requirements. </w:t>
      </w:r>
    </w:p>
    <w:p w14:paraId="1ED193AB" w14:textId="48646DB5" w:rsidR="00551B62" w:rsidRPr="0053751C" w:rsidRDefault="009E2970" w:rsidP="00A956C0">
      <w:r w:rsidRPr="009E2970">
        <w:rPr>
          <w:b/>
        </w:rPr>
        <w:t>SAT/ACT</w:t>
      </w:r>
      <w:r>
        <w:rPr>
          <w:b/>
        </w:rPr>
        <w:t xml:space="preserve">. </w:t>
      </w:r>
      <w:r w:rsidRPr="0053751C">
        <w:t>($8,000,000)</w:t>
      </w:r>
    </w:p>
    <w:p w14:paraId="4FD1A0AE" w14:textId="1F37D113" w:rsidR="009E2970" w:rsidRDefault="009E2970" w:rsidP="00A956C0">
      <w:r>
        <w:t xml:space="preserve">COVID-19 interrupted the administration of college entry examinations (the SAT and the ACT), which adversely impacted the ability of students to articulate to colleges and universities and to receive scholarships for which they may have been eligible. To respond to this situation, the FDOE will enter into contracts to provide the SAT or ACT to students for free for 2020-21. </w:t>
      </w:r>
    </w:p>
    <w:p w14:paraId="3B5C8046" w14:textId="7CB887D3" w:rsidR="009E2970" w:rsidRDefault="009E2970" w:rsidP="00A956C0"/>
    <w:p w14:paraId="4E3FACDA" w14:textId="52996DE2" w:rsidR="0053751C" w:rsidRPr="0053751C" w:rsidRDefault="0053751C" w:rsidP="00A956C0">
      <w:r>
        <w:rPr>
          <w:u w:val="single"/>
        </w:rPr>
        <w:t xml:space="preserve">Other </w:t>
      </w:r>
      <w:r w:rsidRPr="0053751C">
        <w:t>(64,649,836)</w:t>
      </w:r>
    </w:p>
    <w:p w14:paraId="1BA3545A" w14:textId="1B1BCB0C" w:rsidR="0053751C" w:rsidRPr="0053751C" w:rsidRDefault="0053751C" w:rsidP="0053751C">
      <w:pPr>
        <w:rPr>
          <w:b/>
        </w:rPr>
      </w:pPr>
      <w:r>
        <w:rPr>
          <w:b/>
        </w:rPr>
        <w:t xml:space="preserve">Administrative Costs. </w:t>
      </w:r>
      <w:r>
        <w:t>($12,050)</w:t>
      </w:r>
      <w:r>
        <w:rPr>
          <w:b/>
        </w:rPr>
        <w:t xml:space="preserve"> </w:t>
      </w:r>
    </w:p>
    <w:p w14:paraId="22F9D1FF" w14:textId="2668C03B" w:rsidR="0053751C" w:rsidRDefault="0053751C" w:rsidP="0053751C">
      <w:r w:rsidRPr="0053751C">
        <w:t>The Florida Department of Education (FDOE) will reserve a total of $387,000 for administrative costs. Of this amount, $</w:t>
      </w:r>
      <w:r>
        <w:t>12,050</w:t>
      </w:r>
      <w:r w:rsidRPr="0053751C">
        <w:t xml:space="preserve"> is estimated for </w:t>
      </w:r>
      <w:r>
        <w:t>expenditures that do not fall into identified cost categories</w:t>
      </w:r>
      <w:r w:rsidRPr="0053751C">
        <w:t>.</w:t>
      </w:r>
    </w:p>
    <w:p w14:paraId="5D965B78" w14:textId="226A465F" w:rsidR="0053751C" w:rsidRDefault="0053751C" w:rsidP="0053751C">
      <w:r w:rsidRPr="0053751C">
        <w:rPr>
          <w:b/>
        </w:rPr>
        <w:t>Pre-K – 3 Progress Monitoring and Data Informed Supports</w:t>
      </w:r>
      <w:r>
        <w:rPr>
          <w:b/>
        </w:rPr>
        <w:t>.</w:t>
      </w:r>
      <w:r>
        <w:t xml:space="preserve"> ($16,000,000)</w:t>
      </w:r>
    </w:p>
    <w:p w14:paraId="621A6AF3" w14:textId="407DCF4B" w:rsidR="0053751C" w:rsidRDefault="0053751C" w:rsidP="0053751C">
      <w:r w:rsidRPr="0053751C">
        <w:t>The interruption of instructional services and the period of distance learning caused by COVID-19 will likely disproportionately impact the most vulnerable students. The recovery plan must include robust progress monitoring and data-informed supports to ensure that students do not fall behind.</w:t>
      </w:r>
      <w:r>
        <w:t xml:space="preserve"> FDOE will provide Local Educational Agencies (LEAs) with subgrants for the following activities:</w:t>
      </w:r>
    </w:p>
    <w:p w14:paraId="358634E2" w14:textId="68358D71" w:rsidR="0053751C" w:rsidRDefault="0053751C" w:rsidP="0053751C">
      <w:pPr>
        <w:pStyle w:val="ListParagraph"/>
        <w:numPr>
          <w:ilvl w:val="0"/>
          <w:numId w:val="1"/>
        </w:numPr>
      </w:pPr>
      <w:r w:rsidRPr="0053751C">
        <w:t>Invest in building the capacity of districts and schools to use screening and progress monitoring data to drive informed teaching practices and curriculum decisions.  Invest in a screening and progress monitoring assessment with LEAs.</w:t>
      </w:r>
    </w:p>
    <w:p w14:paraId="698019F1" w14:textId="3F16C7AD" w:rsidR="0053751C" w:rsidRDefault="0053751C" w:rsidP="0053751C">
      <w:pPr>
        <w:pStyle w:val="ListParagraph"/>
        <w:numPr>
          <w:ilvl w:val="0"/>
          <w:numId w:val="1"/>
        </w:numPr>
      </w:pPr>
      <w:r w:rsidRPr="0053751C">
        <w:t>Data share to help leverage student data and deployment of professional development to drive improvements.</w:t>
      </w:r>
    </w:p>
    <w:p w14:paraId="67F6FAAE" w14:textId="4AEAA69F" w:rsidR="00FC4877" w:rsidRPr="0053751C" w:rsidRDefault="00FC4877" w:rsidP="0053751C">
      <w:pPr>
        <w:pStyle w:val="ListParagraph"/>
        <w:numPr>
          <w:ilvl w:val="0"/>
          <w:numId w:val="1"/>
        </w:numPr>
      </w:pPr>
      <w:r>
        <w:t>Provision of a data science budget, including a dedicated project manager.</w:t>
      </w:r>
    </w:p>
    <w:p w14:paraId="6F302E2F" w14:textId="7D52BF33" w:rsidR="0053751C" w:rsidRDefault="00FC4877" w:rsidP="0053751C">
      <w:r w:rsidRPr="00FC4877">
        <w:rPr>
          <w:b/>
        </w:rPr>
        <w:t>Upskill Highly Effective Reading Coaches</w:t>
      </w:r>
      <w:r>
        <w:rPr>
          <w:b/>
        </w:rPr>
        <w:t>.</w:t>
      </w:r>
      <w:r>
        <w:t xml:space="preserve"> ($5,000,000)</w:t>
      </w:r>
    </w:p>
    <w:p w14:paraId="58437C40" w14:textId="5D59BAAA" w:rsidR="00FC4877" w:rsidRDefault="00FC4877" w:rsidP="0053751C">
      <w:r>
        <w:t>To support effective recovery efforts, the FDOE will assist LEAs in providing training and professional development for up to 2,000 highly effective reading coaches. FDOE will deploy a proven</w:t>
      </w:r>
      <w:r w:rsidRPr="00FC4877">
        <w:t xml:space="preserve"> model for building reading coach effectiveness, accountability and empowerment to ensure teachers in every classroom build the skills needed to deliver scientifically based reading instructional strategies.</w:t>
      </w:r>
      <w:r>
        <w:t xml:space="preserve"> </w:t>
      </w:r>
      <w:r w:rsidRPr="00FC4877">
        <w:t>T</w:t>
      </w:r>
      <w:r>
        <w:t>his will</w:t>
      </w:r>
      <w:r w:rsidRPr="00FC4877">
        <w:t xml:space="preserve"> involve engaging a research and evidence-based approach to coaching, grounded on the science of reading.</w:t>
      </w:r>
      <w:r>
        <w:t xml:space="preserve"> </w:t>
      </w:r>
      <w:r w:rsidRPr="00FC4877">
        <w:t xml:space="preserve">This </w:t>
      </w:r>
      <w:r>
        <w:t>training will</w:t>
      </w:r>
      <w:r w:rsidRPr="00FC4877">
        <w:t xml:space="preserve"> result in a coaching certification designated and implemented for these positions.</w:t>
      </w:r>
    </w:p>
    <w:p w14:paraId="41200679" w14:textId="699C9B2E" w:rsidR="00FC4877" w:rsidRDefault="00FC4877" w:rsidP="0053751C">
      <w:r w:rsidRPr="00FC4877">
        <w:rPr>
          <w:b/>
        </w:rPr>
        <w:t>Capacity Building for Reading</w:t>
      </w:r>
      <w:r>
        <w:rPr>
          <w:b/>
        </w:rPr>
        <w:t>.</w:t>
      </w:r>
      <w:r>
        <w:t xml:space="preserve"> ($5,000,000)</w:t>
      </w:r>
    </w:p>
    <w:p w14:paraId="47FA78D5" w14:textId="04EB22C3" w:rsidR="00963120" w:rsidRDefault="00FC4877" w:rsidP="00963120">
      <w:r w:rsidRPr="00FC4877">
        <w:t xml:space="preserve">To support effective recovery efforts, the FDOE will </w:t>
      </w:r>
      <w:r w:rsidR="00963120">
        <w:t>deploy</w:t>
      </w:r>
      <w:r w:rsidR="00963120" w:rsidRPr="00963120">
        <w:t xml:space="preserve"> resources statewide that ensure the effective delivery of high-quality, evidence-informed reading instruction for any students identified in need at all grade levels.  This would include providing professional development for teachers delivering reading instruction at all grade levels with these teachers attaining a reading endorsement.</w:t>
      </w:r>
    </w:p>
    <w:p w14:paraId="4BA13FA6" w14:textId="41B30297" w:rsidR="00963120" w:rsidRPr="00963120" w:rsidRDefault="00963120" w:rsidP="00963120">
      <w:r w:rsidRPr="00963120">
        <w:rPr>
          <w:b/>
        </w:rPr>
        <w:t>Ensuring High Quality Regional Supports</w:t>
      </w:r>
      <w:r>
        <w:rPr>
          <w:b/>
        </w:rPr>
        <w:t xml:space="preserve">. </w:t>
      </w:r>
      <w:r>
        <w:t>($5,000,000)</w:t>
      </w:r>
    </w:p>
    <w:p w14:paraId="37FA181E" w14:textId="4D34055D" w:rsidR="00FC4877" w:rsidRDefault="00963120" w:rsidP="0053751C">
      <w:r>
        <w:t>To support effective recovery efforts, the FDOE will</w:t>
      </w:r>
      <w:r w:rsidR="002F6976">
        <w:t xml:space="preserve"> d</w:t>
      </w:r>
      <w:r w:rsidR="002F6976" w:rsidRPr="002F6976">
        <w:t>eploy Regional Support Teams that engage cross-divisional experts (Reading, ESE, etc.) that support and reinforce the professional development and coaching models being deployed statewide, while focusing efforts locally within the regions with support and oversight to ensure fidelity with implementation.</w:t>
      </w:r>
      <w:r w:rsidR="002F6976">
        <w:t xml:space="preserve"> </w:t>
      </w:r>
      <w:r w:rsidR="002F6976" w:rsidRPr="002F6976">
        <w:t xml:space="preserve">These positions </w:t>
      </w:r>
      <w:r w:rsidR="002F6976">
        <w:t>will be trained</w:t>
      </w:r>
      <w:r w:rsidR="002F6976" w:rsidRPr="002F6976">
        <w:t xml:space="preserve"> on implementation science, the strategies and practices being deployed during the training of the coaches and teachers. These positions </w:t>
      </w:r>
      <w:r w:rsidR="002F6976">
        <w:t>will</w:t>
      </w:r>
      <w:r w:rsidR="002F6976" w:rsidRPr="002F6976">
        <w:t xml:space="preserve"> be trained to monitor district-level, school-level, and classroom-level data from the progress monitoring tool to help deploy additional professional development and interventions when needed with urgency and fast response.</w:t>
      </w:r>
      <w:r w:rsidR="002F6976">
        <w:t xml:space="preserve"> </w:t>
      </w:r>
      <w:r w:rsidR="002F6976" w:rsidRPr="002F6976">
        <w:t>Services provided by these regional consultants would be for the shared benefit of all schools in the districts, traditional public, public charter and private schools.</w:t>
      </w:r>
    </w:p>
    <w:p w14:paraId="5FBE9201" w14:textId="3E838FF8" w:rsidR="002F6976" w:rsidRDefault="002F6976" w:rsidP="0053751C">
      <w:r w:rsidRPr="002F6976">
        <w:rPr>
          <w:b/>
        </w:rPr>
        <w:t>Ensuring the B.E.S.T. Curriculum for Reading and Civics</w:t>
      </w:r>
      <w:r>
        <w:rPr>
          <w:b/>
        </w:rPr>
        <w:t>.</w:t>
      </w:r>
      <w:r>
        <w:t xml:space="preserve"> ($20,000,000)</w:t>
      </w:r>
    </w:p>
    <w:p w14:paraId="5836E70C" w14:textId="7D2DC6E4" w:rsidR="002F6976" w:rsidRPr="002F6976" w:rsidRDefault="002F6976" w:rsidP="0053751C">
      <w:r>
        <w:t>To ensure that LEA recovery efforts are effective, FDOE will provide grants to LEAs</w:t>
      </w:r>
      <w:r w:rsidRPr="002F6976">
        <w:t xml:space="preserve"> </w:t>
      </w:r>
      <w:r>
        <w:t>to assist</w:t>
      </w:r>
      <w:r w:rsidRPr="002F6976">
        <w:t xml:space="preserve"> in the identification and adoption of curriculum and supplemental instructional materials to drive teaching and learning in reading for grades K-3.</w:t>
      </w:r>
      <w:r>
        <w:t xml:space="preserve"> The curriculum will be aligned to Florida’s B.E.S.T. Standards. T</w:t>
      </w:r>
      <w:r w:rsidRPr="002F6976">
        <w:t xml:space="preserve">he curriculum must be vetted and approved by the FDOE’s Just Read, Florida! Office, have the capacity to extend beyond direct classroom instruction, in the event schools close campuses again in the future, and provide options for parents/families to support learning in the home. Supplemental resources must be focused and aligned with the five constructs of reading. </w:t>
      </w:r>
    </w:p>
    <w:p w14:paraId="2E628313" w14:textId="02E612B5" w:rsidR="002F6976" w:rsidRDefault="002F6976" w:rsidP="0053751C">
      <w:r w:rsidRPr="002F6976">
        <w:rPr>
          <w:b/>
        </w:rPr>
        <w:t>Instructional Continuity Plans</w:t>
      </w:r>
      <w:r>
        <w:rPr>
          <w:b/>
        </w:rPr>
        <w:t xml:space="preserve">. </w:t>
      </w:r>
      <w:r w:rsidR="00830531">
        <w:t xml:space="preserve">($8,000,000) </w:t>
      </w:r>
    </w:p>
    <w:p w14:paraId="4F68510E" w14:textId="1291CE17" w:rsidR="00830531" w:rsidRDefault="00830531" w:rsidP="0053751C">
      <w:r>
        <w:t>The FDOE will provide grants to LEAs to support the development and deployment of Instructional Continuity Plans. The Instructional Continuity Plans include the LEA’s plan for implementing distance learning in the event of unanticipated campus closures for an extended period of time.</w:t>
      </w:r>
    </w:p>
    <w:p w14:paraId="7E9C0891" w14:textId="502F860E" w:rsidR="00830531" w:rsidRDefault="00830531" w:rsidP="0053751C">
      <w:r w:rsidRPr="00830531">
        <w:rPr>
          <w:b/>
        </w:rPr>
        <w:t>Virtual Safety Net</w:t>
      </w:r>
      <w:r>
        <w:rPr>
          <w:b/>
        </w:rPr>
        <w:t xml:space="preserve">. </w:t>
      </w:r>
      <w:r>
        <w:t>($5,000,000)</w:t>
      </w:r>
    </w:p>
    <w:p w14:paraId="4A36AC04" w14:textId="05A14CAC" w:rsidR="00830531" w:rsidRDefault="00830531" w:rsidP="0053751C">
      <w:r>
        <w:t xml:space="preserve">The FDOE will provide a grant to the Florida Virtual School (FLVS), Florida’s statewide, public virtual school to help provide a virtual safety net, which provides distance learning options for students statewide. These funds will be used to provide free courses to all schools in Florida, to enhance FLVS’s learning management system and to increase </w:t>
      </w:r>
      <w:r w:rsidR="00EB5ED9">
        <w:t>FLVS capacity to serve additional students.</w:t>
      </w:r>
    </w:p>
    <w:p w14:paraId="18071E21" w14:textId="780D581F" w:rsidR="00EB5ED9" w:rsidRDefault="00EB5ED9" w:rsidP="0053751C">
      <w:r w:rsidRPr="00EB5ED9">
        <w:rPr>
          <w:b/>
        </w:rPr>
        <w:t>Teacher Training on Virtual Learning Management Systems</w:t>
      </w:r>
      <w:r>
        <w:rPr>
          <w:b/>
        </w:rPr>
        <w:t>.</w:t>
      </w:r>
      <w:r>
        <w:t xml:space="preserve"> ($250,000)</w:t>
      </w:r>
    </w:p>
    <w:p w14:paraId="32FA8E41" w14:textId="0BBF42C9" w:rsidR="00EB5ED9" w:rsidRDefault="00EB5ED9" w:rsidP="0053751C">
      <w:r>
        <w:t>The FDOE will provide a grant to FLVS to provide a 6-hour Virtual Teacher Training course that will be available to every public school teacher in Florida. Teachers who take this course will be prepared to instruct through any school district’s FLVS franchise.</w:t>
      </w:r>
    </w:p>
    <w:p w14:paraId="4371BE42" w14:textId="4EDF72F1" w:rsidR="00EB5ED9" w:rsidRDefault="00EB5ED9" w:rsidP="0053751C">
      <w:r>
        <w:rPr>
          <w:b/>
        </w:rPr>
        <w:t>Additional projects, To Be Determined</w:t>
      </w:r>
      <w:r>
        <w:t xml:space="preserve"> ($387,785)</w:t>
      </w:r>
    </w:p>
    <w:p w14:paraId="6D4971F2" w14:textId="01C15CCF" w:rsidR="00EB5ED9" w:rsidRDefault="00EB5ED9" w:rsidP="0053751C">
      <w:r>
        <w:t>As circumstances pertaining to COVID-19 evolve, the educational needs of the state will change. The FDOE has reserved $387,785 for additional projects to be determined as the needs develop.</w:t>
      </w:r>
    </w:p>
    <w:p w14:paraId="721223A0" w14:textId="77777777" w:rsidR="00EB5ED9" w:rsidRPr="00EB5ED9" w:rsidRDefault="00EB5ED9" w:rsidP="0053751C">
      <w:bookmarkStart w:id="0" w:name="_GoBack"/>
      <w:bookmarkEnd w:id="0"/>
    </w:p>
    <w:p w14:paraId="03A6485E" w14:textId="77777777" w:rsidR="00EB5ED9" w:rsidRPr="00EB5ED9" w:rsidRDefault="00EB5ED9" w:rsidP="0053751C"/>
    <w:p w14:paraId="342EE9C1" w14:textId="77777777" w:rsidR="00EB5ED9" w:rsidRPr="00EB5ED9" w:rsidRDefault="00EB5ED9" w:rsidP="0053751C">
      <w:pPr>
        <w:rPr>
          <w:b/>
        </w:rPr>
      </w:pPr>
    </w:p>
    <w:p w14:paraId="13207F1C" w14:textId="77777777" w:rsidR="00EB5ED9" w:rsidRPr="00830531" w:rsidRDefault="00EB5ED9" w:rsidP="0053751C"/>
    <w:p w14:paraId="4C5BAA26" w14:textId="77777777" w:rsidR="00FC4877" w:rsidRPr="00FC4877" w:rsidRDefault="00FC4877" w:rsidP="0053751C"/>
    <w:p w14:paraId="53A9C0B3" w14:textId="77777777" w:rsidR="00FC4877" w:rsidRPr="0053751C" w:rsidRDefault="00FC4877" w:rsidP="0053751C"/>
    <w:p w14:paraId="6C4E219E" w14:textId="77777777" w:rsidR="0053751C" w:rsidRPr="0053751C" w:rsidRDefault="0053751C" w:rsidP="00A956C0"/>
    <w:p w14:paraId="4CB984F9" w14:textId="77777777" w:rsidR="009E2970" w:rsidRDefault="009E2970" w:rsidP="00A956C0"/>
    <w:p w14:paraId="0B456FF0" w14:textId="01E4133F" w:rsidR="009E2970" w:rsidRDefault="009E2970" w:rsidP="00A956C0"/>
    <w:p w14:paraId="25C30F30" w14:textId="77777777" w:rsidR="009E2970" w:rsidRPr="009E2970" w:rsidRDefault="009E2970" w:rsidP="00A956C0"/>
    <w:p w14:paraId="33F24EAA" w14:textId="77777777" w:rsidR="00A956C0" w:rsidRPr="00A956C0" w:rsidRDefault="00A956C0" w:rsidP="00A956C0"/>
    <w:p w14:paraId="71C0A8B2" w14:textId="77777777" w:rsidR="00A956C0" w:rsidRPr="00A956C0" w:rsidRDefault="00A956C0" w:rsidP="00A956C0"/>
    <w:p w14:paraId="0714A5CF" w14:textId="77777777" w:rsidR="00A956C0" w:rsidRPr="00A956C0" w:rsidRDefault="00A956C0" w:rsidP="00A956C0"/>
    <w:p w14:paraId="3E29B477" w14:textId="77777777" w:rsidR="00A956C0" w:rsidRPr="00A956C0" w:rsidRDefault="00A956C0" w:rsidP="00A956C0"/>
    <w:p w14:paraId="60FD10E5" w14:textId="77777777" w:rsidR="00A956C0" w:rsidRPr="00A956C0" w:rsidRDefault="00A956C0" w:rsidP="00A956C0"/>
    <w:p w14:paraId="677E0EF6" w14:textId="77777777" w:rsidR="00A956C0" w:rsidRPr="00A956C0" w:rsidRDefault="00A956C0" w:rsidP="00A956C0"/>
    <w:p w14:paraId="6A10D12D" w14:textId="77777777" w:rsidR="00A956C0" w:rsidRPr="00A956C0" w:rsidRDefault="00A956C0" w:rsidP="00A956C0"/>
    <w:p w14:paraId="22359513" w14:textId="77777777" w:rsidR="00A956C0" w:rsidRPr="00A956C0" w:rsidRDefault="00A956C0" w:rsidP="00A956C0"/>
    <w:p w14:paraId="7CA4B8B0" w14:textId="77777777" w:rsidR="00A956C0" w:rsidRPr="00A956C0" w:rsidRDefault="00A956C0" w:rsidP="00A956C0"/>
    <w:p w14:paraId="564E4062" w14:textId="77777777" w:rsidR="00A956C0" w:rsidRPr="00A956C0" w:rsidRDefault="00A956C0" w:rsidP="00A956C0"/>
    <w:p w14:paraId="1308C09A" w14:textId="77777777" w:rsidR="00A956C0" w:rsidRPr="00A956C0" w:rsidRDefault="00A956C0" w:rsidP="00A956C0"/>
    <w:p w14:paraId="51D194FB" w14:textId="77777777" w:rsidR="00876A8F" w:rsidRPr="00A956C0" w:rsidRDefault="00876A8F" w:rsidP="00A956C0"/>
    <w:sectPr w:rsidR="00876A8F" w:rsidRPr="00A9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07B"/>
    <w:multiLevelType w:val="hybridMultilevel"/>
    <w:tmpl w:val="4AC03030"/>
    <w:lvl w:ilvl="0" w:tplc="C2245DE4">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CB8061C6" w:tentative="1">
      <w:start w:val="1"/>
      <w:numFmt w:val="bullet"/>
      <w:lvlText w:val=""/>
      <w:lvlJc w:val="left"/>
      <w:pPr>
        <w:tabs>
          <w:tab w:val="num" w:pos="1800"/>
        </w:tabs>
        <w:ind w:left="1800" w:hanging="360"/>
      </w:pPr>
      <w:rPr>
        <w:rFonts w:ascii="Wingdings" w:hAnsi="Wingdings" w:hint="default"/>
      </w:rPr>
    </w:lvl>
    <w:lvl w:ilvl="3" w:tplc="72AEEDA4" w:tentative="1">
      <w:start w:val="1"/>
      <w:numFmt w:val="bullet"/>
      <w:lvlText w:val=""/>
      <w:lvlJc w:val="left"/>
      <w:pPr>
        <w:tabs>
          <w:tab w:val="num" w:pos="2520"/>
        </w:tabs>
        <w:ind w:left="2520" w:hanging="360"/>
      </w:pPr>
      <w:rPr>
        <w:rFonts w:ascii="Wingdings" w:hAnsi="Wingdings" w:hint="default"/>
      </w:rPr>
    </w:lvl>
    <w:lvl w:ilvl="4" w:tplc="3E4414D0" w:tentative="1">
      <w:start w:val="1"/>
      <w:numFmt w:val="bullet"/>
      <w:lvlText w:val=""/>
      <w:lvlJc w:val="left"/>
      <w:pPr>
        <w:tabs>
          <w:tab w:val="num" w:pos="3240"/>
        </w:tabs>
        <w:ind w:left="3240" w:hanging="360"/>
      </w:pPr>
      <w:rPr>
        <w:rFonts w:ascii="Wingdings" w:hAnsi="Wingdings" w:hint="default"/>
      </w:rPr>
    </w:lvl>
    <w:lvl w:ilvl="5" w:tplc="DECA94FE" w:tentative="1">
      <w:start w:val="1"/>
      <w:numFmt w:val="bullet"/>
      <w:lvlText w:val=""/>
      <w:lvlJc w:val="left"/>
      <w:pPr>
        <w:tabs>
          <w:tab w:val="num" w:pos="3960"/>
        </w:tabs>
        <w:ind w:left="3960" w:hanging="360"/>
      </w:pPr>
      <w:rPr>
        <w:rFonts w:ascii="Wingdings" w:hAnsi="Wingdings" w:hint="default"/>
      </w:rPr>
    </w:lvl>
    <w:lvl w:ilvl="6" w:tplc="637E3696" w:tentative="1">
      <w:start w:val="1"/>
      <w:numFmt w:val="bullet"/>
      <w:lvlText w:val=""/>
      <w:lvlJc w:val="left"/>
      <w:pPr>
        <w:tabs>
          <w:tab w:val="num" w:pos="4680"/>
        </w:tabs>
        <w:ind w:left="4680" w:hanging="360"/>
      </w:pPr>
      <w:rPr>
        <w:rFonts w:ascii="Wingdings" w:hAnsi="Wingdings" w:hint="default"/>
      </w:rPr>
    </w:lvl>
    <w:lvl w:ilvl="7" w:tplc="78167F60" w:tentative="1">
      <w:start w:val="1"/>
      <w:numFmt w:val="bullet"/>
      <w:lvlText w:val=""/>
      <w:lvlJc w:val="left"/>
      <w:pPr>
        <w:tabs>
          <w:tab w:val="num" w:pos="5400"/>
        </w:tabs>
        <w:ind w:left="5400" w:hanging="360"/>
      </w:pPr>
      <w:rPr>
        <w:rFonts w:ascii="Wingdings" w:hAnsi="Wingdings" w:hint="default"/>
      </w:rPr>
    </w:lvl>
    <w:lvl w:ilvl="8" w:tplc="E7F4209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8A64D89"/>
    <w:multiLevelType w:val="hybridMultilevel"/>
    <w:tmpl w:val="7CE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0A"/>
    <w:rsid w:val="002B1B52"/>
    <w:rsid w:val="002F6976"/>
    <w:rsid w:val="00451807"/>
    <w:rsid w:val="0053751C"/>
    <w:rsid w:val="00551B62"/>
    <w:rsid w:val="00561A89"/>
    <w:rsid w:val="006864B4"/>
    <w:rsid w:val="00733B89"/>
    <w:rsid w:val="007D70B4"/>
    <w:rsid w:val="00830531"/>
    <w:rsid w:val="00866107"/>
    <w:rsid w:val="00876A8F"/>
    <w:rsid w:val="009327F2"/>
    <w:rsid w:val="00963120"/>
    <w:rsid w:val="009E2970"/>
    <w:rsid w:val="00A956C0"/>
    <w:rsid w:val="00AA65DA"/>
    <w:rsid w:val="00C3750A"/>
    <w:rsid w:val="00EB5ED9"/>
    <w:rsid w:val="00FC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D63D"/>
  <w15:chartTrackingRefBased/>
  <w15:docId w15:val="{D7A29DE0-0B67-449C-B33D-091E385F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56C0"/>
    <w:rPr>
      <w:sz w:val="16"/>
      <w:szCs w:val="16"/>
    </w:rPr>
  </w:style>
  <w:style w:type="paragraph" w:styleId="CommentText">
    <w:name w:val="annotation text"/>
    <w:basedOn w:val="Normal"/>
    <w:link w:val="CommentTextChar"/>
    <w:uiPriority w:val="99"/>
    <w:semiHidden/>
    <w:unhideWhenUsed/>
    <w:rsid w:val="00A956C0"/>
    <w:pPr>
      <w:spacing w:line="240" w:lineRule="auto"/>
    </w:pPr>
    <w:rPr>
      <w:sz w:val="20"/>
      <w:szCs w:val="20"/>
    </w:rPr>
  </w:style>
  <w:style w:type="character" w:customStyle="1" w:styleId="CommentTextChar">
    <w:name w:val="Comment Text Char"/>
    <w:basedOn w:val="DefaultParagraphFont"/>
    <w:link w:val="CommentText"/>
    <w:uiPriority w:val="99"/>
    <w:semiHidden/>
    <w:rsid w:val="00A956C0"/>
    <w:rPr>
      <w:sz w:val="20"/>
      <w:szCs w:val="20"/>
    </w:rPr>
  </w:style>
  <w:style w:type="paragraph" w:styleId="CommentSubject">
    <w:name w:val="annotation subject"/>
    <w:basedOn w:val="CommentText"/>
    <w:next w:val="CommentText"/>
    <w:link w:val="CommentSubjectChar"/>
    <w:uiPriority w:val="99"/>
    <w:semiHidden/>
    <w:unhideWhenUsed/>
    <w:rsid w:val="00A956C0"/>
    <w:rPr>
      <w:b/>
      <w:bCs/>
    </w:rPr>
  </w:style>
  <w:style w:type="character" w:customStyle="1" w:styleId="CommentSubjectChar">
    <w:name w:val="Comment Subject Char"/>
    <w:basedOn w:val="CommentTextChar"/>
    <w:link w:val="CommentSubject"/>
    <w:uiPriority w:val="99"/>
    <w:semiHidden/>
    <w:rsid w:val="00A956C0"/>
    <w:rPr>
      <w:b/>
      <w:bCs/>
      <w:sz w:val="20"/>
      <w:szCs w:val="20"/>
    </w:rPr>
  </w:style>
  <w:style w:type="paragraph" w:styleId="BalloonText">
    <w:name w:val="Balloon Text"/>
    <w:basedOn w:val="Normal"/>
    <w:link w:val="BalloonTextChar"/>
    <w:uiPriority w:val="99"/>
    <w:semiHidden/>
    <w:unhideWhenUsed/>
    <w:rsid w:val="00A9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C0"/>
    <w:rPr>
      <w:rFonts w:ascii="Segoe UI" w:hAnsi="Segoe UI" w:cs="Segoe UI"/>
      <w:sz w:val="18"/>
      <w:szCs w:val="18"/>
    </w:rPr>
  </w:style>
  <w:style w:type="paragraph" w:styleId="ListParagraph">
    <w:name w:val="List Paragraph"/>
    <w:basedOn w:val="Normal"/>
    <w:uiPriority w:val="34"/>
    <w:qFormat/>
    <w:rsid w:val="0053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6E97D740-1F13-4738-B6D8-E5DADD1DF850}"/>
</file>

<file path=customXml/itemProps2.xml><?xml version="1.0" encoding="utf-8"?>
<ds:datastoreItem xmlns:ds="http://schemas.openxmlformats.org/officeDocument/2006/customXml" ds:itemID="{62B58DFE-BBF1-4E67-8657-F392581F4163}"/>
</file>

<file path=customXml/itemProps3.xml><?xml version="1.0" encoding="utf-8"?>
<ds:datastoreItem xmlns:ds="http://schemas.openxmlformats.org/officeDocument/2006/customXml" ds:itemID="{0931A2F3-F163-483F-BE67-C4C1C579D10C}"/>
</file>

<file path=docProps/app.xml><?xml version="1.0" encoding="utf-8"?>
<Properties xmlns="http://schemas.openxmlformats.org/officeDocument/2006/extended-properties" xmlns:vt="http://schemas.openxmlformats.org/officeDocument/2006/docPropsVTypes">
  <Template>Normal</Template>
  <TotalTime>239</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Presley, Mari</dc:creator>
  <cp:keywords/>
  <dc:description/>
  <cp:lastModifiedBy>Presley, Mari</cp:lastModifiedBy>
  <cp:revision>2</cp:revision>
  <cp:lastPrinted>2020-07-28T13:14:00Z</cp:lastPrinted>
  <dcterms:created xsi:type="dcterms:W3CDTF">2020-07-17T21:16:00Z</dcterms:created>
  <dcterms:modified xsi:type="dcterms:W3CDTF">2020-07-28T15:56:00Z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108980800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