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80" w:rsidRDefault="007A00BC" w:rsidP="00DA65FD">
      <w:pPr>
        <w:pStyle w:val="Default"/>
        <w:jc w:val="center"/>
        <w:rPr>
          <w:rFonts w:asciiTheme="minorHAnsi" w:hAnsiTheme="minorHAnsi" w:cstheme="minorBidi"/>
          <w:b/>
          <w:color w:val="auto"/>
          <w:sz w:val="22"/>
          <w:szCs w:val="22"/>
        </w:rPr>
      </w:pPr>
      <w:r>
        <w:rPr>
          <w:rFonts w:asciiTheme="minorHAnsi" w:hAnsiTheme="minorHAnsi" w:cstheme="minorBidi"/>
          <w:b/>
          <w:color w:val="auto"/>
          <w:sz w:val="22"/>
          <w:szCs w:val="22"/>
        </w:rPr>
        <w:t>Virginia Department of Education</w:t>
      </w:r>
    </w:p>
    <w:p w:rsidR="007A00BC" w:rsidRDefault="007A00BC" w:rsidP="007A00BC">
      <w:pPr>
        <w:pStyle w:val="Default"/>
        <w:jc w:val="center"/>
        <w:rPr>
          <w:rFonts w:asciiTheme="minorHAnsi" w:hAnsiTheme="minorHAnsi" w:cstheme="minorBidi"/>
          <w:b/>
          <w:color w:val="auto"/>
          <w:sz w:val="22"/>
          <w:szCs w:val="22"/>
        </w:rPr>
      </w:pPr>
      <w:r>
        <w:rPr>
          <w:rFonts w:asciiTheme="minorHAnsi" w:hAnsiTheme="minorHAnsi" w:cstheme="minorBidi"/>
          <w:b/>
          <w:color w:val="auto"/>
          <w:sz w:val="22"/>
          <w:szCs w:val="22"/>
        </w:rPr>
        <w:t>CARES ESSER Fund 60 Day Report</w:t>
      </w:r>
    </w:p>
    <w:p w:rsidR="00B61E80" w:rsidRDefault="00B61E80" w:rsidP="007A00BC">
      <w:pPr>
        <w:pStyle w:val="Default"/>
        <w:jc w:val="center"/>
        <w:rPr>
          <w:sz w:val="23"/>
          <w:szCs w:val="23"/>
        </w:rPr>
      </w:pPr>
      <w:r w:rsidRPr="00B61E80">
        <w:rPr>
          <w:rFonts w:asciiTheme="minorHAnsi" w:hAnsiTheme="minorHAnsi" w:cstheme="minorHAnsi"/>
          <w:b/>
          <w:sz w:val="22"/>
          <w:szCs w:val="22"/>
        </w:rPr>
        <w:t xml:space="preserve">Internal Control and </w:t>
      </w:r>
      <w:proofErr w:type="spellStart"/>
      <w:r w:rsidRPr="00B61E80">
        <w:rPr>
          <w:rFonts w:asciiTheme="minorHAnsi" w:hAnsiTheme="minorHAnsi" w:cstheme="minorHAnsi"/>
          <w:b/>
          <w:sz w:val="22"/>
          <w:szCs w:val="22"/>
        </w:rPr>
        <w:t>Subrecipient</w:t>
      </w:r>
      <w:proofErr w:type="spellEnd"/>
      <w:r w:rsidRPr="00B61E80">
        <w:rPr>
          <w:rFonts w:asciiTheme="minorHAnsi" w:hAnsiTheme="minorHAnsi" w:cstheme="minorHAnsi"/>
          <w:b/>
          <w:sz w:val="22"/>
          <w:szCs w:val="22"/>
        </w:rPr>
        <w:t xml:space="preserve"> Monitoring Plan</w:t>
      </w:r>
    </w:p>
    <w:p w:rsidR="00B61E80" w:rsidRDefault="00B61E80" w:rsidP="00B61E80">
      <w:pPr>
        <w:pStyle w:val="Default"/>
        <w:rPr>
          <w:sz w:val="23"/>
          <w:szCs w:val="23"/>
        </w:rPr>
      </w:pPr>
    </w:p>
    <w:p w:rsidR="00B61E80" w:rsidRDefault="007A00BC" w:rsidP="00B61E80">
      <w:pPr>
        <w:pStyle w:val="Default"/>
        <w:rPr>
          <w:rFonts w:asciiTheme="minorHAnsi" w:hAnsiTheme="minorHAnsi" w:cstheme="minorHAnsi"/>
          <w:b/>
          <w:sz w:val="22"/>
          <w:szCs w:val="22"/>
        </w:rPr>
      </w:pPr>
      <w:r>
        <w:rPr>
          <w:rFonts w:asciiTheme="minorHAnsi" w:hAnsiTheme="minorHAnsi" w:cstheme="minorHAnsi"/>
          <w:b/>
          <w:sz w:val="22"/>
          <w:szCs w:val="22"/>
        </w:rPr>
        <w:t>Internal Control Plan</w:t>
      </w:r>
    </w:p>
    <w:p w:rsidR="007A00BC" w:rsidRDefault="007A00BC" w:rsidP="00B61E80">
      <w:pPr>
        <w:pStyle w:val="Default"/>
        <w:rPr>
          <w:rFonts w:asciiTheme="minorHAnsi" w:hAnsiTheme="minorHAnsi" w:cstheme="minorHAnsi"/>
          <w:sz w:val="22"/>
          <w:szCs w:val="22"/>
        </w:rPr>
      </w:pPr>
    </w:p>
    <w:p w:rsidR="00F102FC" w:rsidRDefault="00F102FC" w:rsidP="00B61E80">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7A00BC">
        <w:rPr>
          <w:rFonts w:asciiTheme="minorHAnsi" w:hAnsiTheme="minorHAnsi" w:cstheme="minorHAnsi"/>
          <w:sz w:val="22"/>
          <w:szCs w:val="22"/>
        </w:rPr>
        <w:t xml:space="preserve">Virginia </w:t>
      </w:r>
      <w:r>
        <w:rPr>
          <w:rFonts w:asciiTheme="minorHAnsi" w:hAnsiTheme="minorHAnsi" w:cstheme="minorHAnsi"/>
          <w:sz w:val="22"/>
          <w:szCs w:val="22"/>
        </w:rPr>
        <w:t xml:space="preserve">Department of Education (VDOE) </w:t>
      </w:r>
      <w:r w:rsidR="007A00BC">
        <w:rPr>
          <w:rFonts w:asciiTheme="minorHAnsi" w:hAnsiTheme="minorHAnsi" w:cstheme="minorHAnsi"/>
          <w:sz w:val="22"/>
          <w:szCs w:val="22"/>
        </w:rPr>
        <w:t xml:space="preserve">has a well-established and effective </w:t>
      </w:r>
      <w:r w:rsidR="00555389">
        <w:rPr>
          <w:rFonts w:asciiTheme="minorHAnsi" w:hAnsiTheme="minorHAnsi" w:cstheme="minorHAnsi"/>
          <w:sz w:val="22"/>
          <w:szCs w:val="22"/>
        </w:rPr>
        <w:t>internal control plan</w:t>
      </w:r>
      <w:r w:rsidR="007A00BC">
        <w:rPr>
          <w:rFonts w:asciiTheme="minorHAnsi" w:hAnsiTheme="minorHAnsi" w:cstheme="minorHAnsi"/>
          <w:sz w:val="22"/>
          <w:szCs w:val="22"/>
        </w:rPr>
        <w:t xml:space="preserve"> in place for implementing ESEA grants, and this structure will be us</w:t>
      </w:r>
      <w:r w:rsidR="005A0DC2">
        <w:rPr>
          <w:rFonts w:asciiTheme="minorHAnsi" w:hAnsiTheme="minorHAnsi" w:cstheme="minorHAnsi"/>
          <w:sz w:val="22"/>
          <w:szCs w:val="22"/>
        </w:rPr>
        <w:t>ed to implement the ESSER F</w:t>
      </w:r>
      <w:r w:rsidR="007A00BC">
        <w:rPr>
          <w:rFonts w:asciiTheme="minorHAnsi" w:hAnsiTheme="minorHAnsi" w:cstheme="minorHAnsi"/>
          <w:sz w:val="22"/>
          <w:szCs w:val="22"/>
        </w:rPr>
        <w:t xml:space="preserve">und grant. </w:t>
      </w:r>
      <w:r w:rsidR="00AA5DD4">
        <w:rPr>
          <w:rFonts w:asciiTheme="minorHAnsi" w:hAnsiTheme="minorHAnsi" w:cstheme="minorHAnsi"/>
          <w:sz w:val="22"/>
          <w:szCs w:val="22"/>
        </w:rPr>
        <w:t xml:space="preserve"> </w:t>
      </w:r>
      <w:r>
        <w:rPr>
          <w:rFonts w:asciiTheme="minorHAnsi" w:hAnsiTheme="minorHAnsi" w:cstheme="minorHAnsi"/>
          <w:sz w:val="22"/>
          <w:szCs w:val="22"/>
        </w:rPr>
        <w:t>A high-level summary of the VDOE’s internal control plan is below.</w:t>
      </w:r>
    </w:p>
    <w:p w:rsidR="00F102FC" w:rsidRDefault="00F102FC" w:rsidP="00F102FC">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 xml:space="preserve">The </w:t>
      </w:r>
      <w:r w:rsidRPr="00F102FC">
        <w:rPr>
          <w:rFonts w:asciiTheme="minorHAnsi" w:hAnsiTheme="minorHAnsi" w:cstheme="minorHAnsi"/>
          <w:b/>
          <w:sz w:val="22"/>
          <w:szCs w:val="22"/>
        </w:rPr>
        <w:t>control environment</w:t>
      </w:r>
      <w:r>
        <w:rPr>
          <w:rFonts w:asciiTheme="minorHAnsi" w:hAnsiTheme="minorHAnsi" w:cstheme="minorHAnsi"/>
          <w:sz w:val="22"/>
          <w:szCs w:val="22"/>
        </w:rPr>
        <w:t xml:space="preserve"> includes the agency’s system of oversight, organizational</w:t>
      </w:r>
      <w:r w:rsidR="007A5B47">
        <w:rPr>
          <w:rFonts w:asciiTheme="minorHAnsi" w:hAnsiTheme="minorHAnsi" w:cstheme="minorHAnsi"/>
          <w:sz w:val="22"/>
          <w:szCs w:val="22"/>
        </w:rPr>
        <w:t xml:space="preserve"> </w:t>
      </w:r>
      <w:r>
        <w:rPr>
          <w:rFonts w:asciiTheme="minorHAnsi" w:hAnsiTheme="minorHAnsi" w:cstheme="minorHAnsi"/>
          <w:sz w:val="22"/>
          <w:szCs w:val="22"/>
        </w:rPr>
        <w:t>structure, and performance evaluation. Documentation of the control environment is evidenced by the agency’s Administrative Manual, Human Resources Policy Manual, and Agency Risk Management Internal Controls Standards (ARMICS) program plan.</w:t>
      </w:r>
    </w:p>
    <w:p w:rsidR="00D13900" w:rsidRDefault="00F102FC" w:rsidP="00F102FC">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 xml:space="preserve">The </w:t>
      </w:r>
      <w:r w:rsidR="00D13900">
        <w:rPr>
          <w:rFonts w:asciiTheme="minorHAnsi" w:hAnsiTheme="minorHAnsi" w:cstheme="minorHAnsi"/>
          <w:sz w:val="22"/>
          <w:szCs w:val="22"/>
        </w:rPr>
        <w:t>ARMICS</w:t>
      </w:r>
      <w:r>
        <w:rPr>
          <w:rFonts w:asciiTheme="minorHAnsi" w:hAnsiTheme="minorHAnsi" w:cstheme="minorHAnsi"/>
          <w:sz w:val="22"/>
          <w:szCs w:val="22"/>
        </w:rPr>
        <w:t xml:space="preserve"> program plan includes </w:t>
      </w:r>
      <w:r w:rsidR="00D13900">
        <w:rPr>
          <w:rFonts w:asciiTheme="minorHAnsi" w:hAnsiTheme="minorHAnsi" w:cstheme="minorHAnsi"/>
          <w:sz w:val="22"/>
          <w:szCs w:val="22"/>
        </w:rPr>
        <w:t xml:space="preserve">the implementation of </w:t>
      </w:r>
      <w:r>
        <w:rPr>
          <w:rFonts w:asciiTheme="minorHAnsi" w:hAnsiTheme="minorHAnsi" w:cstheme="minorHAnsi"/>
          <w:sz w:val="22"/>
          <w:szCs w:val="22"/>
        </w:rPr>
        <w:t xml:space="preserve">an annual agency-wide </w:t>
      </w:r>
      <w:r w:rsidRPr="00F102FC">
        <w:rPr>
          <w:rFonts w:asciiTheme="minorHAnsi" w:hAnsiTheme="minorHAnsi" w:cstheme="minorHAnsi"/>
          <w:b/>
          <w:sz w:val="22"/>
          <w:szCs w:val="22"/>
        </w:rPr>
        <w:t>risk assessment</w:t>
      </w:r>
      <w:r>
        <w:rPr>
          <w:rFonts w:asciiTheme="minorHAnsi" w:hAnsiTheme="minorHAnsi" w:cstheme="minorHAnsi"/>
          <w:sz w:val="22"/>
          <w:szCs w:val="22"/>
        </w:rPr>
        <w:t xml:space="preserve">. </w:t>
      </w:r>
      <w:r w:rsidR="00D13900">
        <w:rPr>
          <w:rFonts w:asciiTheme="minorHAnsi" w:hAnsiTheme="minorHAnsi" w:cstheme="minorHAnsi"/>
          <w:sz w:val="22"/>
          <w:szCs w:val="22"/>
        </w:rPr>
        <w:t>The risk assessment process is managed by the VDOE’s Director of Risk Management. The process includes identification, analysis, and response to risks, identification of change, and response to change.</w:t>
      </w:r>
    </w:p>
    <w:p w:rsidR="00A132A4" w:rsidRDefault="00D13900" w:rsidP="00A132A4">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 xml:space="preserve">The VDOE’s </w:t>
      </w:r>
      <w:r w:rsidRPr="00D13900">
        <w:rPr>
          <w:rFonts w:asciiTheme="minorHAnsi" w:hAnsiTheme="minorHAnsi" w:cstheme="minorHAnsi"/>
          <w:b/>
          <w:sz w:val="22"/>
          <w:szCs w:val="22"/>
        </w:rPr>
        <w:t>control activities</w:t>
      </w:r>
      <w:r>
        <w:rPr>
          <w:rFonts w:asciiTheme="minorHAnsi" w:hAnsiTheme="minorHAnsi" w:cstheme="minorHAnsi"/>
          <w:sz w:val="22"/>
          <w:szCs w:val="22"/>
        </w:rPr>
        <w:t xml:space="preserve"> for managing federal grants include implementation of the performance review system, </w:t>
      </w:r>
      <w:r w:rsidR="00001066">
        <w:rPr>
          <w:rFonts w:asciiTheme="minorHAnsi" w:hAnsiTheme="minorHAnsi" w:cstheme="minorHAnsi"/>
          <w:sz w:val="22"/>
          <w:szCs w:val="22"/>
        </w:rPr>
        <w:t>segregation of duties, and accurate and timely recording of and documentation of transactions. T</w:t>
      </w:r>
      <w:r>
        <w:rPr>
          <w:rFonts w:asciiTheme="minorHAnsi" w:hAnsiTheme="minorHAnsi" w:cstheme="minorHAnsi"/>
          <w:sz w:val="22"/>
          <w:szCs w:val="22"/>
        </w:rPr>
        <w:t xml:space="preserve">he </w:t>
      </w:r>
      <w:r w:rsidR="00001066">
        <w:rPr>
          <w:rFonts w:asciiTheme="minorHAnsi" w:hAnsiTheme="minorHAnsi" w:cstheme="minorHAnsi"/>
          <w:sz w:val="22"/>
          <w:szCs w:val="22"/>
        </w:rPr>
        <w:t xml:space="preserve">agency’s </w:t>
      </w:r>
      <w:r>
        <w:rPr>
          <w:rFonts w:asciiTheme="minorHAnsi" w:hAnsiTheme="minorHAnsi" w:cstheme="minorHAnsi"/>
          <w:sz w:val="22"/>
          <w:szCs w:val="22"/>
        </w:rPr>
        <w:t>Online Management</w:t>
      </w:r>
      <w:r w:rsidR="00001066">
        <w:rPr>
          <w:rFonts w:asciiTheme="minorHAnsi" w:hAnsiTheme="minorHAnsi" w:cstheme="minorHAnsi"/>
          <w:sz w:val="22"/>
          <w:szCs w:val="22"/>
        </w:rPr>
        <w:t xml:space="preserve"> of Education Grant Awards</w:t>
      </w:r>
      <w:r>
        <w:rPr>
          <w:rFonts w:asciiTheme="minorHAnsi" w:hAnsiTheme="minorHAnsi" w:cstheme="minorHAnsi"/>
          <w:sz w:val="22"/>
          <w:szCs w:val="22"/>
        </w:rPr>
        <w:t xml:space="preserve"> (OMEGA) grants management </w:t>
      </w:r>
      <w:r w:rsidR="00001066">
        <w:rPr>
          <w:rFonts w:asciiTheme="minorHAnsi" w:hAnsiTheme="minorHAnsi" w:cstheme="minorHAnsi"/>
          <w:sz w:val="22"/>
          <w:szCs w:val="22"/>
        </w:rPr>
        <w:t xml:space="preserve">system </w:t>
      </w:r>
      <w:r>
        <w:rPr>
          <w:rFonts w:asciiTheme="minorHAnsi" w:hAnsiTheme="minorHAnsi" w:cstheme="minorHAnsi"/>
          <w:sz w:val="22"/>
          <w:szCs w:val="22"/>
        </w:rPr>
        <w:t xml:space="preserve">provides built-in controls for the </w:t>
      </w:r>
      <w:proofErr w:type="spellStart"/>
      <w:r>
        <w:rPr>
          <w:rFonts w:asciiTheme="minorHAnsi" w:hAnsiTheme="minorHAnsi" w:cstheme="minorHAnsi"/>
          <w:sz w:val="22"/>
          <w:szCs w:val="22"/>
        </w:rPr>
        <w:t>subgrantee</w:t>
      </w:r>
      <w:proofErr w:type="spellEnd"/>
      <w:r>
        <w:rPr>
          <w:rFonts w:asciiTheme="minorHAnsi" w:hAnsiTheme="minorHAnsi" w:cstheme="minorHAnsi"/>
          <w:sz w:val="22"/>
          <w:szCs w:val="22"/>
        </w:rPr>
        <w:t xml:space="preserve"> application approval and reimbursement process</w:t>
      </w:r>
      <w:r w:rsidR="00001066">
        <w:rPr>
          <w:rFonts w:asciiTheme="minorHAnsi" w:hAnsiTheme="minorHAnsi" w:cstheme="minorHAnsi"/>
          <w:sz w:val="22"/>
          <w:szCs w:val="22"/>
        </w:rPr>
        <w:t>es</w:t>
      </w:r>
      <w:r>
        <w:rPr>
          <w:rFonts w:asciiTheme="minorHAnsi" w:hAnsiTheme="minorHAnsi" w:cstheme="minorHAnsi"/>
          <w:sz w:val="22"/>
          <w:szCs w:val="22"/>
        </w:rPr>
        <w:t>.</w:t>
      </w:r>
      <w:r w:rsidR="00001066">
        <w:rPr>
          <w:rFonts w:asciiTheme="minorHAnsi" w:hAnsiTheme="minorHAnsi" w:cstheme="minorHAnsi"/>
          <w:sz w:val="22"/>
          <w:szCs w:val="22"/>
        </w:rPr>
        <w:t xml:space="preserve"> The system is designed to control user rights and access by assigned duty/permissions. Details about the CARES grant management </w:t>
      </w:r>
      <w:r w:rsidR="007A5B47">
        <w:rPr>
          <w:rFonts w:asciiTheme="minorHAnsi" w:hAnsiTheme="minorHAnsi" w:cstheme="minorHAnsi"/>
          <w:sz w:val="22"/>
          <w:szCs w:val="22"/>
        </w:rPr>
        <w:t xml:space="preserve">structure and </w:t>
      </w:r>
      <w:r w:rsidR="00001066">
        <w:rPr>
          <w:rFonts w:asciiTheme="minorHAnsi" w:hAnsiTheme="minorHAnsi" w:cstheme="minorHAnsi"/>
          <w:sz w:val="22"/>
          <w:szCs w:val="22"/>
        </w:rPr>
        <w:t>process are below.</w:t>
      </w:r>
    </w:p>
    <w:p w:rsidR="00A132A4" w:rsidRDefault="00001066" w:rsidP="00A132A4">
      <w:pPr>
        <w:pStyle w:val="Default"/>
        <w:numPr>
          <w:ilvl w:val="1"/>
          <w:numId w:val="13"/>
        </w:numPr>
        <w:rPr>
          <w:rFonts w:asciiTheme="minorHAnsi" w:hAnsiTheme="minorHAnsi" w:cstheme="minorHAnsi"/>
          <w:sz w:val="22"/>
          <w:szCs w:val="22"/>
        </w:rPr>
      </w:pPr>
      <w:r w:rsidRPr="00A132A4">
        <w:rPr>
          <w:rFonts w:asciiTheme="minorHAnsi" w:hAnsiTheme="minorHAnsi" w:cstheme="minorHAnsi"/>
          <w:sz w:val="22"/>
          <w:szCs w:val="22"/>
        </w:rPr>
        <w:t>Upon receipt of the award from the U.S. Department of Education, O</w:t>
      </w:r>
      <w:r w:rsidR="00716764" w:rsidRPr="00A132A4">
        <w:rPr>
          <w:rFonts w:asciiTheme="minorHAnsi" w:hAnsiTheme="minorHAnsi" w:cstheme="minorHAnsi"/>
          <w:sz w:val="22"/>
          <w:szCs w:val="22"/>
        </w:rPr>
        <w:t xml:space="preserve">ffice of </w:t>
      </w:r>
      <w:r w:rsidRPr="00A132A4">
        <w:rPr>
          <w:rFonts w:asciiTheme="minorHAnsi" w:hAnsiTheme="minorHAnsi" w:cstheme="minorHAnsi"/>
          <w:sz w:val="22"/>
          <w:szCs w:val="22"/>
        </w:rPr>
        <w:t>E</w:t>
      </w:r>
      <w:r w:rsidR="00716764" w:rsidRPr="00A132A4">
        <w:rPr>
          <w:rFonts w:asciiTheme="minorHAnsi" w:hAnsiTheme="minorHAnsi" w:cstheme="minorHAnsi"/>
          <w:sz w:val="22"/>
          <w:szCs w:val="22"/>
        </w:rPr>
        <w:t xml:space="preserve">SEA </w:t>
      </w:r>
      <w:r w:rsidRPr="00A132A4">
        <w:rPr>
          <w:rFonts w:asciiTheme="minorHAnsi" w:hAnsiTheme="minorHAnsi" w:cstheme="minorHAnsi"/>
          <w:sz w:val="22"/>
          <w:szCs w:val="22"/>
        </w:rPr>
        <w:t>P</w:t>
      </w:r>
      <w:r w:rsidR="00716764" w:rsidRPr="00A132A4">
        <w:rPr>
          <w:rFonts w:asciiTheme="minorHAnsi" w:hAnsiTheme="minorHAnsi" w:cstheme="minorHAnsi"/>
          <w:sz w:val="22"/>
          <w:szCs w:val="22"/>
        </w:rPr>
        <w:t>rograms (OEP)</w:t>
      </w:r>
      <w:r w:rsidRPr="00A132A4">
        <w:rPr>
          <w:rFonts w:asciiTheme="minorHAnsi" w:hAnsiTheme="minorHAnsi" w:cstheme="minorHAnsi"/>
          <w:sz w:val="22"/>
          <w:szCs w:val="22"/>
        </w:rPr>
        <w:t xml:space="preserve"> staff applied allowable set-asides and calculate LEA allocations. Calculations are reviewed and approved by the Office of Budget prior to making awards to LEAs. </w:t>
      </w:r>
    </w:p>
    <w:p w:rsidR="00A132A4" w:rsidRDefault="00001066" w:rsidP="00A132A4">
      <w:pPr>
        <w:pStyle w:val="Default"/>
        <w:numPr>
          <w:ilvl w:val="1"/>
          <w:numId w:val="13"/>
        </w:numPr>
        <w:rPr>
          <w:rFonts w:asciiTheme="minorHAnsi" w:hAnsiTheme="minorHAnsi" w:cstheme="minorHAnsi"/>
          <w:sz w:val="22"/>
          <w:szCs w:val="22"/>
        </w:rPr>
      </w:pPr>
      <w:r w:rsidRPr="00A132A4">
        <w:rPr>
          <w:rFonts w:asciiTheme="minorHAnsi" w:hAnsiTheme="minorHAnsi" w:cstheme="minorHAnsi"/>
          <w:sz w:val="22"/>
          <w:szCs w:val="22"/>
        </w:rPr>
        <w:t xml:space="preserve">For the CARES Act ESSER Fund state set-aside budget, proposed activities to be funded were approved by staff at both the </w:t>
      </w:r>
      <w:r w:rsidR="00716764" w:rsidRPr="00A132A4">
        <w:rPr>
          <w:rFonts w:asciiTheme="minorHAnsi" w:hAnsiTheme="minorHAnsi" w:cstheme="minorHAnsi"/>
          <w:sz w:val="22"/>
          <w:szCs w:val="22"/>
        </w:rPr>
        <w:t>VDOE</w:t>
      </w:r>
      <w:r w:rsidRPr="00A132A4">
        <w:rPr>
          <w:rFonts w:asciiTheme="minorHAnsi" w:hAnsiTheme="minorHAnsi" w:cstheme="minorHAnsi"/>
          <w:sz w:val="22"/>
          <w:szCs w:val="22"/>
        </w:rPr>
        <w:t xml:space="preserve"> and at the Governor’s Office. This process was implemented to maximize the impact of the programs and activities funded with the CARES ESSER state set-aside budget. </w:t>
      </w:r>
    </w:p>
    <w:p w:rsidR="00A132A4" w:rsidRDefault="00001066" w:rsidP="00A132A4">
      <w:pPr>
        <w:pStyle w:val="Default"/>
        <w:numPr>
          <w:ilvl w:val="1"/>
          <w:numId w:val="13"/>
        </w:numPr>
        <w:rPr>
          <w:rFonts w:asciiTheme="minorHAnsi" w:hAnsiTheme="minorHAnsi" w:cstheme="minorHAnsi"/>
          <w:sz w:val="22"/>
          <w:szCs w:val="22"/>
        </w:rPr>
      </w:pPr>
      <w:r w:rsidRPr="00A132A4">
        <w:rPr>
          <w:rFonts w:asciiTheme="minorHAnsi" w:hAnsiTheme="minorHAnsi" w:cstheme="minorHAnsi"/>
          <w:sz w:val="22"/>
          <w:szCs w:val="22"/>
        </w:rPr>
        <w:t xml:space="preserve">To receive formula funds, each LEA must submit an application for CARES Act ESSER funds </w:t>
      </w:r>
      <w:r w:rsidR="00716764" w:rsidRPr="00A132A4">
        <w:rPr>
          <w:rFonts w:asciiTheme="minorHAnsi" w:hAnsiTheme="minorHAnsi" w:cstheme="minorHAnsi"/>
          <w:sz w:val="22"/>
          <w:szCs w:val="22"/>
        </w:rPr>
        <w:t>through OMEGA</w:t>
      </w:r>
      <w:r w:rsidRPr="00A132A4">
        <w:rPr>
          <w:rFonts w:asciiTheme="minorHAnsi" w:hAnsiTheme="minorHAnsi" w:cstheme="minorHAnsi"/>
          <w:sz w:val="22"/>
          <w:szCs w:val="22"/>
        </w:rPr>
        <w:t>. The application includes a detailed budget breakdown identifying each expense by allowable category aligned with the CARES Act uses of ESSER funds. Applications are reviewed in the OMEGA system by two OEP program staff prior to approval. Following initial approval of an application, all budget changes must be justified in an application amendment.</w:t>
      </w:r>
    </w:p>
    <w:p w:rsidR="00A132A4" w:rsidRDefault="00001066" w:rsidP="00A132A4">
      <w:pPr>
        <w:pStyle w:val="Default"/>
        <w:numPr>
          <w:ilvl w:val="1"/>
          <w:numId w:val="13"/>
        </w:numPr>
        <w:rPr>
          <w:rFonts w:asciiTheme="minorHAnsi" w:hAnsiTheme="minorHAnsi" w:cstheme="minorHAnsi"/>
          <w:sz w:val="22"/>
          <w:szCs w:val="22"/>
        </w:rPr>
      </w:pPr>
      <w:r w:rsidRPr="00A132A4">
        <w:rPr>
          <w:rFonts w:asciiTheme="minorHAnsi" w:hAnsiTheme="minorHAnsi" w:cstheme="minorHAnsi"/>
          <w:sz w:val="22"/>
          <w:szCs w:val="22"/>
        </w:rPr>
        <w:t xml:space="preserve">Following application approval, each LEA must submit a budget transfer request aligned with the approved application. The budget transfer request places funds in the correct object codes for reimbursement, and is reviewed by </w:t>
      </w:r>
      <w:r w:rsidR="00716764" w:rsidRPr="00A132A4">
        <w:rPr>
          <w:rFonts w:asciiTheme="minorHAnsi" w:hAnsiTheme="minorHAnsi" w:cstheme="minorHAnsi"/>
          <w:sz w:val="22"/>
          <w:szCs w:val="22"/>
        </w:rPr>
        <w:t>two OEP program staff</w:t>
      </w:r>
      <w:r w:rsidRPr="00A132A4">
        <w:rPr>
          <w:rFonts w:asciiTheme="minorHAnsi" w:hAnsiTheme="minorHAnsi" w:cstheme="minorHAnsi"/>
          <w:sz w:val="22"/>
          <w:szCs w:val="22"/>
        </w:rPr>
        <w:t xml:space="preserve"> prior to approval. The OMEGA system will not allow an LEA to transfer more funds than have been allocated. </w:t>
      </w:r>
    </w:p>
    <w:p w:rsidR="00A132A4" w:rsidRDefault="00001066" w:rsidP="00A132A4">
      <w:pPr>
        <w:pStyle w:val="Default"/>
        <w:numPr>
          <w:ilvl w:val="1"/>
          <w:numId w:val="13"/>
        </w:numPr>
        <w:rPr>
          <w:rFonts w:asciiTheme="minorHAnsi" w:hAnsiTheme="minorHAnsi" w:cstheme="minorHAnsi"/>
          <w:sz w:val="22"/>
          <w:szCs w:val="22"/>
        </w:rPr>
      </w:pPr>
      <w:r w:rsidRPr="00A132A4">
        <w:rPr>
          <w:rFonts w:asciiTheme="minorHAnsi" w:hAnsiTheme="minorHAnsi" w:cstheme="minorHAnsi"/>
          <w:sz w:val="22"/>
          <w:szCs w:val="22"/>
        </w:rPr>
        <w:t xml:space="preserve">Following budget transfer </w:t>
      </w:r>
      <w:r w:rsidR="00716764" w:rsidRPr="00A132A4">
        <w:rPr>
          <w:rFonts w:asciiTheme="minorHAnsi" w:hAnsiTheme="minorHAnsi" w:cstheme="minorHAnsi"/>
          <w:sz w:val="22"/>
          <w:szCs w:val="22"/>
        </w:rPr>
        <w:t>approval, each LEA must submit</w:t>
      </w:r>
      <w:r w:rsidRPr="00A132A4">
        <w:rPr>
          <w:rFonts w:asciiTheme="minorHAnsi" w:hAnsiTheme="minorHAnsi" w:cstheme="minorHAnsi"/>
          <w:sz w:val="22"/>
          <w:szCs w:val="22"/>
        </w:rPr>
        <w:t xml:space="preserve"> reimbursement request</w:t>
      </w:r>
      <w:r w:rsidR="00716764" w:rsidRPr="00A132A4">
        <w:rPr>
          <w:rFonts w:asciiTheme="minorHAnsi" w:hAnsiTheme="minorHAnsi" w:cstheme="minorHAnsi"/>
          <w:sz w:val="22"/>
          <w:szCs w:val="22"/>
        </w:rPr>
        <w:t>s</w:t>
      </w:r>
      <w:r w:rsidRPr="00A132A4">
        <w:rPr>
          <w:rFonts w:asciiTheme="minorHAnsi" w:hAnsiTheme="minorHAnsi" w:cstheme="minorHAnsi"/>
          <w:sz w:val="22"/>
          <w:szCs w:val="22"/>
        </w:rPr>
        <w:t xml:space="preserve"> to receive federal CARES Act funds. Reimbursement requests include a description of each program and activity by object code. They are reviewed by program staff to ensure alignment with the application. They are then reviewed by fiscal staff to ensure that they comply with laws, guidelines, and cash management principles regarding allowable </w:t>
      </w:r>
      <w:r w:rsidRPr="00A132A4">
        <w:rPr>
          <w:rFonts w:asciiTheme="minorHAnsi" w:hAnsiTheme="minorHAnsi" w:cstheme="minorHAnsi"/>
          <w:sz w:val="22"/>
          <w:szCs w:val="22"/>
        </w:rPr>
        <w:lastRenderedPageBreak/>
        <w:t xml:space="preserve">expenses. The OMEGA system will not allow the LEA to request reimbursement for more funds than have been transferred into each object code. </w:t>
      </w:r>
    </w:p>
    <w:p w:rsidR="00001066" w:rsidRPr="00A132A4" w:rsidRDefault="00001066" w:rsidP="00A132A4">
      <w:pPr>
        <w:pStyle w:val="Default"/>
        <w:numPr>
          <w:ilvl w:val="1"/>
          <w:numId w:val="13"/>
        </w:numPr>
        <w:rPr>
          <w:rFonts w:asciiTheme="minorHAnsi" w:hAnsiTheme="minorHAnsi" w:cstheme="minorHAnsi"/>
          <w:sz w:val="22"/>
          <w:szCs w:val="22"/>
        </w:rPr>
      </w:pPr>
      <w:r w:rsidRPr="00A132A4">
        <w:rPr>
          <w:rFonts w:asciiTheme="minorHAnsi" w:hAnsiTheme="minorHAnsi" w:cstheme="minorHAnsi"/>
          <w:sz w:val="22"/>
          <w:szCs w:val="22"/>
        </w:rPr>
        <w:t>Documentation for LEA grants</w:t>
      </w:r>
      <w:r w:rsidR="007A5B47" w:rsidRPr="00A132A4">
        <w:rPr>
          <w:rFonts w:asciiTheme="minorHAnsi" w:hAnsiTheme="minorHAnsi" w:cstheme="minorHAnsi"/>
          <w:sz w:val="22"/>
          <w:szCs w:val="22"/>
        </w:rPr>
        <w:t xml:space="preserve"> (applications, budget transfers, and reimbursements)</w:t>
      </w:r>
      <w:r w:rsidRPr="00A132A4">
        <w:rPr>
          <w:rFonts w:asciiTheme="minorHAnsi" w:hAnsiTheme="minorHAnsi" w:cstheme="minorHAnsi"/>
          <w:sz w:val="22"/>
          <w:szCs w:val="22"/>
        </w:rPr>
        <w:t xml:space="preserve"> is maintained in the OMEGA system. For state set-aside activities, </w:t>
      </w:r>
      <w:r w:rsidR="007A5B47" w:rsidRPr="00A132A4">
        <w:rPr>
          <w:rFonts w:asciiTheme="minorHAnsi" w:hAnsiTheme="minorHAnsi" w:cstheme="minorHAnsi"/>
          <w:sz w:val="22"/>
          <w:szCs w:val="22"/>
        </w:rPr>
        <w:t xml:space="preserve">primary </w:t>
      </w:r>
      <w:r w:rsidRPr="00A132A4">
        <w:rPr>
          <w:rFonts w:asciiTheme="minorHAnsi" w:hAnsiTheme="minorHAnsi" w:cstheme="minorHAnsi"/>
          <w:sz w:val="22"/>
          <w:szCs w:val="22"/>
        </w:rPr>
        <w:t xml:space="preserve">documentation </w:t>
      </w:r>
      <w:r w:rsidR="007A5B47" w:rsidRPr="00A132A4">
        <w:rPr>
          <w:rFonts w:asciiTheme="minorHAnsi" w:hAnsiTheme="minorHAnsi" w:cstheme="minorHAnsi"/>
          <w:sz w:val="22"/>
          <w:szCs w:val="22"/>
        </w:rPr>
        <w:t xml:space="preserve">to support fiscal reviews and audits </w:t>
      </w:r>
      <w:r w:rsidRPr="00A132A4">
        <w:rPr>
          <w:rFonts w:asciiTheme="minorHAnsi" w:hAnsiTheme="minorHAnsi" w:cstheme="minorHAnsi"/>
          <w:sz w:val="22"/>
          <w:szCs w:val="22"/>
        </w:rPr>
        <w:t>for grants and contracts that are not</w:t>
      </w:r>
      <w:r w:rsidR="00716764" w:rsidRPr="00A132A4">
        <w:rPr>
          <w:rFonts w:asciiTheme="minorHAnsi" w:hAnsiTheme="minorHAnsi" w:cstheme="minorHAnsi"/>
          <w:sz w:val="22"/>
          <w:szCs w:val="22"/>
        </w:rPr>
        <w:t xml:space="preserve"> awarded to LEAs</w:t>
      </w:r>
      <w:r w:rsidRPr="00A132A4">
        <w:rPr>
          <w:rFonts w:asciiTheme="minorHAnsi" w:hAnsiTheme="minorHAnsi" w:cstheme="minorHAnsi"/>
          <w:sz w:val="22"/>
          <w:szCs w:val="22"/>
        </w:rPr>
        <w:t xml:space="preserve"> is maintained </w:t>
      </w:r>
      <w:r w:rsidR="00965FB8">
        <w:rPr>
          <w:rFonts w:asciiTheme="minorHAnsi" w:hAnsiTheme="minorHAnsi" w:cstheme="minorHAnsi"/>
          <w:sz w:val="22"/>
          <w:szCs w:val="22"/>
        </w:rPr>
        <w:t>in the Office of Finance</w:t>
      </w:r>
      <w:r w:rsidRPr="00A132A4">
        <w:rPr>
          <w:rFonts w:asciiTheme="minorHAnsi" w:hAnsiTheme="minorHAnsi" w:cstheme="minorHAnsi"/>
          <w:sz w:val="22"/>
          <w:szCs w:val="22"/>
        </w:rPr>
        <w:t>.</w:t>
      </w:r>
    </w:p>
    <w:p w:rsidR="00001066" w:rsidRDefault="00001066" w:rsidP="00F102FC">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 xml:space="preserve">The VDOE maintains a consistent focus on </w:t>
      </w:r>
      <w:r w:rsidRPr="00001066">
        <w:rPr>
          <w:rFonts w:asciiTheme="minorHAnsi" w:hAnsiTheme="minorHAnsi" w:cstheme="minorHAnsi"/>
          <w:b/>
          <w:sz w:val="22"/>
          <w:szCs w:val="22"/>
        </w:rPr>
        <w:t>information and communication</w:t>
      </w:r>
      <w:r>
        <w:rPr>
          <w:rFonts w:asciiTheme="minorHAnsi" w:hAnsiTheme="minorHAnsi" w:cstheme="minorHAnsi"/>
          <w:sz w:val="22"/>
          <w:szCs w:val="22"/>
        </w:rPr>
        <w:t xml:space="preserve"> with internal and external stakeholders. </w:t>
      </w:r>
      <w:r w:rsidR="00716764">
        <w:rPr>
          <w:rFonts w:asciiTheme="minorHAnsi" w:hAnsiTheme="minorHAnsi" w:cstheme="minorHAnsi"/>
          <w:sz w:val="22"/>
          <w:szCs w:val="22"/>
        </w:rPr>
        <w:t xml:space="preserve">OEP </w:t>
      </w:r>
      <w:r w:rsidR="00EF1D18">
        <w:rPr>
          <w:rFonts w:asciiTheme="minorHAnsi" w:hAnsiTheme="minorHAnsi" w:cstheme="minorHAnsi"/>
          <w:sz w:val="22"/>
          <w:szCs w:val="22"/>
        </w:rPr>
        <w:t xml:space="preserve">and other agency </w:t>
      </w:r>
      <w:r w:rsidR="00716764">
        <w:rPr>
          <w:rFonts w:asciiTheme="minorHAnsi" w:hAnsiTheme="minorHAnsi" w:cstheme="minorHAnsi"/>
          <w:sz w:val="22"/>
          <w:szCs w:val="22"/>
        </w:rPr>
        <w:t xml:space="preserve">staff attend meetings with the U.S. Department of Education </w:t>
      </w:r>
      <w:r w:rsidR="00EF1D18">
        <w:rPr>
          <w:rFonts w:asciiTheme="minorHAnsi" w:hAnsiTheme="minorHAnsi" w:cstheme="minorHAnsi"/>
          <w:sz w:val="22"/>
          <w:szCs w:val="22"/>
        </w:rPr>
        <w:t xml:space="preserve">(USED) </w:t>
      </w:r>
      <w:r w:rsidR="00716764">
        <w:rPr>
          <w:rFonts w:asciiTheme="minorHAnsi" w:hAnsiTheme="minorHAnsi" w:cstheme="minorHAnsi"/>
          <w:sz w:val="22"/>
          <w:szCs w:val="22"/>
        </w:rPr>
        <w:t xml:space="preserve">and other national </w:t>
      </w:r>
      <w:r w:rsidR="00EF1D18">
        <w:rPr>
          <w:rFonts w:asciiTheme="minorHAnsi" w:hAnsiTheme="minorHAnsi" w:cstheme="minorHAnsi"/>
          <w:sz w:val="22"/>
          <w:szCs w:val="22"/>
        </w:rPr>
        <w:t xml:space="preserve">educational </w:t>
      </w:r>
      <w:r w:rsidR="00716764">
        <w:rPr>
          <w:rFonts w:asciiTheme="minorHAnsi" w:hAnsiTheme="minorHAnsi" w:cstheme="minorHAnsi"/>
          <w:sz w:val="22"/>
          <w:szCs w:val="22"/>
        </w:rPr>
        <w:t>organizations</w:t>
      </w:r>
      <w:r w:rsidR="00EF1D18">
        <w:rPr>
          <w:rFonts w:asciiTheme="minorHAnsi" w:hAnsiTheme="minorHAnsi" w:cstheme="minorHAnsi"/>
          <w:sz w:val="22"/>
          <w:szCs w:val="22"/>
        </w:rPr>
        <w:t xml:space="preserve"> that feature USED presentations</w:t>
      </w:r>
      <w:r w:rsidR="00965FB8">
        <w:rPr>
          <w:rFonts w:asciiTheme="minorHAnsi" w:hAnsiTheme="minorHAnsi" w:cstheme="minorHAnsi"/>
          <w:sz w:val="22"/>
          <w:szCs w:val="22"/>
        </w:rPr>
        <w:t>. The VDOE Office of Finance</w:t>
      </w:r>
      <w:bookmarkStart w:id="0" w:name="_GoBack"/>
      <w:bookmarkEnd w:id="0"/>
      <w:r w:rsidR="00716764">
        <w:rPr>
          <w:rFonts w:asciiTheme="minorHAnsi" w:hAnsiTheme="minorHAnsi" w:cstheme="minorHAnsi"/>
          <w:sz w:val="22"/>
          <w:szCs w:val="22"/>
        </w:rPr>
        <w:t xml:space="preserve"> conducts periodic training for agency staff, and OEP staff attends these trainings. </w:t>
      </w:r>
      <w:r w:rsidR="001D75E3">
        <w:rPr>
          <w:rFonts w:asciiTheme="minorHAnsi" w:hAnsiTheme="minorHAnsi" w:cstheme="minorHAnsi"/>
          <w:sz w:val="22"/>
          <w:szCs w:val="22"/>
        </w:rPr>
        <w:t>The VDOE Leadership Team meets bimonthly and receives updates on agency policy changes and ARMICs. The OEP program staff provides annual grants management training for all federal programs, as well as targeted training on areas of need throughout the year.</w:t>
      </w:r>
    </w:p>
    <w:p w:rsidR="001D75E3" w:rsidRDefault="004F52C7" w:rsidP="00F102FC">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 xml:space="preserve">The VDOE’s system for internal and external </w:t>
      </w:r>
      <w:r w:rsidRPr="004F52C7">
        <w:rPr>
          <w:rFonts w:asciiTheme="minorHAnsi" w:hAnsiTheme="minorHAnsi" w:cstheme="minorHAnsi"/>
          <w:b/>
          <w:sz w:val="22"/>
          <w:szCs w:val="22"/>
        </w:rPr>
        <w:t>monitoring</w:t>
      </w:r>
      <w:r>
        <w:rPr>
          <w:rFonts w:asciiTheme="minorHAnsi" w:hAnsiTheme="minorHAnsi" w:cstheme="minorHAnsi"/>
          <w:sz w:val="22"/>
          <w:szCs w:val="22"/>
        </w:rPr>
        <w:t xml:space="preserve"> includes </w:t>
      </w:r>
      <w:r w:rsidR="00F01C6C">
        <w:rPr>
          <w:rFonts w:asciiTheme="minorHAnsi" w:hAnsiTheme="minorHAnsi" w:cstheme="minorHAnsi"/>
          <w:sz w:val="22"/>
          <w:szCs w:val="22"/>
        </w:rPr>
        <w:t xml:space="preserve">an annual focus on agency-wide ARMICS testing and evaluation facilitated by the Director of Risk Management as well as federal program monitoring of </w:t>
      </w:r>
      <w:proofErr w:type="spellStart"/>
      <w:r w:rsidR="00F01C6C">
        <w:rPr>
          <w:rFonts w:asciiTheme="minorHAnsi" w:hAnsiTheme="minorHAnsi" w:cstheme="minorHAnsi"/>
          <w:sz w:val="22"/>
          <w:szCs w:val="22"/>
        </w:rPr>
        <w:t>subgrantees</w:t>
      </w:r>
      <w:proofErr w:type="spellEnd"/>
      <w:r w:rsidR="00F01C6C">
        <w:rPr>
          <w:rFonts w:asciiTheme="minorHAnsi" w:hAnsiTheme="minorHAnsi" w:cstheme="minorHAnsi"/>
          <w:sz w:val="22"/>
          <w:szCs w:val="22"/>
        </w:rPr>
        <w:t xml:space="preserve"> (described below).</w:t>
      </w:r>
    </w:p>
    <w:p w:rsidR="001D75E3" w:rsidRDefault="001D75E3" w:rsidP="001D75E3">
      <w:pPr>
        <w:pStyle w:val="Default"/>
        <w:rPr>
          <w:sz w:val="23"/>
          <w:szCs w:val="23"/>
        </w:rPr>
      </w:pPr>
    </w:p>
    <w:p w:rsidR="00B61E80" w:rsidRDefault="00B61E80" w:rsidP="00506474">
      <w:pPr>
        <w:pStyle w:val="Default"/>
        <w:rPr>
          <w:rFonts w:asciiTheme="minorHAnsi" w:hAnsiTheme="minorHAnsi" w:cstheme="minorHAnsi"/>
          <w:b/>
          <w:sz w:val="22"/>
          <w:szCs w:val="22"/>
        </w:rPr>
      </w:pPr>
      <w:proofErr w:type="spellStart"/>
      <w:r w:rsidRPr="00B61E80">
        <w:rPr>
          <w:rFonts w:asciiTheme="minorHAnsi" w:hAnsiTheme="minorHAnsi" w:cstheme="minorHAnsi"/>
          <w:b/>
          <w:sz w:val="22"/>
          <w:szCs w:val="22"/>
        </w:rPr>
        <w:t>Subrecipient</w:t>
      </w:r>
      <w:proofErr w:type="spellEnd"/>
      <w:r w:rsidRPr="00B61E80">
        <w:rPr>
          <w:rFonts w:asciiTheme="minorHAnsi" w:hAnsiTheme="minorHAnsi" w:cstheme="minorHAnsi"/>
          <w:b/>
          <w:sz w:val="22"/>
          <w:szCs w:val="22"/>
        </w:rPr>
        <w:t xml:space="preserve"> Monitoring</w:t>
      </w:r>
      <w:r w:rsidR="00AA5DD4">
        <w:rPr>
          <w:rFonts w:asciiTheme="minorHAnsi" w:hAnsiTheme="minorHAnsi" w:cstheme="minorHAnsi"/>
          <w:b/>
          <w:sz w:val="22"/>
          <w:szCs w:val="22"/>
        </w:rPr>
        <w:t xml:space="preserve"> Plan</w:t>
      </w:r>
    </w:p>
    <w:p w:rsidR="00AA5DD4" w:rsidRPr="00B61E80" w:rsidRDefault="00AA5DD4" w:rsidP="00506474">
      <w:pPr>
        <w:pStyle w:val="Default"/>
        <w:rPr>
          <w:rFonts w:asciiTheme="minorHAnsi" w:hAnsiTheme="minorHAnsi" w:cstheme="minorHAnsi"/>
          <w:b/>
          <w:sz w:val="22"/>
          <w:szCs w:val="22"/>
        </w:rPr>
      </w:pPr>
    </w:p>
    <w:p w:rsidR="00B61E80" w:rsidRDefault="0016345F" w:rsidP="00506474">
      <w:pPr>
        <w:spacing w:after="0" w:line="240" w:lineRule="auto"/>
        <w:rPr>
          <w:rFonts w:cs="Tahoma"/>
        </w:rPr>
      </w:pPr>
      <w:r>
        <w:rPr>
          <w:rFonts w:cstheme="minorHAnsi"/>
        </w:rPr>
        <w:t>The VDOE</w:t>
      </w:r>
      <w:r w:rsidR="00555389">
        <w:rPr>
          <w:rFonts w:cstheme="minorHAnsi"/>
        </w:rPr>
        <w:t xml:space="preserve"> has a well-established and effective </w:t>
      </w:r>
      <w:proofErr w:type="spellStart"/>
      <w:r w:rsidR="00555389">
        <w:rPr>
          <w:rFonts w:cstheme="minorHAnsi"/>
        </w:rPr>
        <w:t>subrecipient</w:t>
      </w:r>
      <w:proofErr w:type="spellEnd"/>
      <w:r w:rsidR="00555389">
        <w:rPr>
          <w:rFonts w:cstheme="minorHAnsi"/>
        </w:rPr>
        <w:t xml:space="preserve"> monitoring plan in place for implementing ESEA grants, </w:t>
      </w:r>
      <w:r w:rsidR="005C1426">
        <w:rPr>
          <w:rFonts w:cstheme="minorHAnsi"/>
        </w:rPr>
        <w:t xml:space="preserve">and this structure will be modified </w:t>
      </w:r>
      <w:r w:rsidR="00555389">
        <w:rPr>
          <w:rFonts w:cstheme="minorHAnsi"/>
        </w:rPr>
        <w:t xml:space="preserve">to implement the ESSER Fund grant.  The </w:t>
      </w:r>
      <w:r w:rsidR="00A028F3">
        <w:rPr>
          <w:rFonts w:cs="Tahoma"/>
        </w:rPr>
        <w:t xml:space="preserve">monitoring </w:t>
      </w:r>
      <w:bookmarkStart w:id="1" w:name="_Toc150675432"/>
      <w:r w:rsidR="00555389">
        <w:rPr>
          <w:rFonts w:cs="Tahoma"/>
        </w:rPr>
        <w:t>process is summarized below.</w:t>
      </w:r>
    </w:p>
    <w:p w:rsidR="00277605" w:rsidRDefault="00277605" w:rsidP="00506474">
      <w:pPr>
        <w:pStyle w:val="ListParagraph"/>
        <w:numPr>
          <w:ilvl w:val="0"/>
          <w:numId w:val="11"/>
        </w:numPr>
        <w:rPr>
          <w:rFonts w:cs="Tahoma"/>
        </w:rPr>
      </w:pPr>
      <w:r>
        <w:rPr>
          <w:rFonts w:cs="Tahoma"/>
        </w:rPr>
        <w:t>Develop monitoring protocol</w:t>
      </w:r>
    </w:p>
    <w:p w:rsidR="00277605" w:rsidRDefault="00277605" w:rsidP="00277605">
      <w:pPr>
        <w:pStyle w:val="ListParagraph"/>
        <w:numPr>
          <w:ilvl w:val="1"/>
          <w:numId w:val="11"/>
        </w:numPr>
        <w:rPr>
          <w:rFonts w:cs="Tahoma"/>
        </w:rPr>
      </w:pPr>
      <w:r>
        <w:rPr>
          <w:rFonts w:cs="Tahoma"/>
        </w:rPr>
        <w:t xml:space="preserve">Programmatic and fiscal Indicators will be identified to determine the degree of implementation of CARES Act ESSER fund programs and activities administered by </w:t>
      </w:r>
      <w:proofErr w:type="spellStart"/>
      <w:r>
        <w:rPr>
          <w:rFonts w:cs="Tahoma"/>
        </w:rPr>
        <w:t>subrecipients</w:t>
      </w:r>
      <w:proofErr w:type="spellEnd"/>
      <w:r>
        <w:rPr>
          <w:rFonts w:cs="Tahoma"/>
        </w:rPr>
        <w:t xml:space="preserve">. </w:t>
      </w:r>
      <w:r w:rsidR="00031DF6">
        <w:rPr>
          <w:rFonts w:cs="Tahoma"/>
        </w:rPr>
        <w:t xml:space="preserve">ESEA </w:t>
      </w:r>
      <w:r w:rsidR="00A132A4">
        <w:rPr>
          <w:rFonts w:cs="Tahoma"/>
        </w:rPr>
        <w:t xml:space="preserve">program </w:t>
      </w:r>
      <w:proofErr w:type="spellStart"/>
      <w:r w:rsidR="00031DF6">
        <w:rPr>
          <w:rFonts w:cs="Tahoma"/>
        </w:rPr>
        <w:t>subrecipient</w:t>
      </w:r>
      <w:proofErr w:type="spellEnd"/>
      <w:r w:rsidR="00031DF6">
        <w:rPr>
          <w:rFonts w:cs="Tahoma"/>
        </w:rPr>
        <w:t xml:space="preserve"> protocols will serve as a model for the CARES Act ESSER Fund protocol. Indicators will be modified as needed to include key programmatic components of the CARES Act. </w:t>
      </w:r>
    </w:p>
    <w:p w:rsidR="00506474" w:rsidRDefault="00277605" w:rsidP="00277605">
      <w:pPr>
        <w:pStyle w:val="ListParagraph"/>
        <w:numPr>
          <w:ilvl w:val="1"/>
          <w:numId w:val="11"/>
        </w:numPr>
        <w:rPr>
          <w:rFonts w:cs="Tahoma"/>
        </w:rPr>
      </w:pPr>
      <w:r>
        <w:rPr>
          <w:rFonts w:cs="Tahoma"/>
        </w:rPr>
        <w:t xml:space="preserve">Guiding questions </w:t>
      </w:r>
      <w:r w:rsidR="00D77FA6">
        <w:rPr>
          <w:rFonts w:cs="Tahoma"/>
        </w:rPr>
        <w:t xml:space="preserve">and interview questions </w:t>
      </w:r>
      <w:r>
        <w:rPr>
          <w:rFonts w:cs="Tahoma"/>
        </w:rPr>
        <w:t xml:space="preserve">will be developed to assist </w:t>
      </w:r>
      <w:proofErr w:type="spellStart"/>
      <w:r>
        <w:rPr>
          <w:rFonts w:cs="Tahoma"/>
        </w:rPr>
        <w:t>subrecipients</w:t>
      </w:r>
      <w:proofErr w:type="spellEnd"/>
      <w:r>
        <w:rPr>
          <w:rFonts w:cs="Tahoma"/>
        </w:rPr>
        <w:t xml:space="preserve"> in self-assessing their compliance with each indicator and in preparing for the monitoring visit.</w:t>
      </w:r>
    </w:p>
    <w:p w:rsidR="001E7AF7" w:rsidRDefault="001E7AF7" w:rsidP="001E7AF7">
      <w:pPr>
        <w:pStyle w:val="ListParagraph"/>
        <w:numPr>
          <w:ilvl w:val="0"/>
          <w:numId w:val="11"/>
        </w:numPr>
        <w:rPr>
          <w:rFonts w:cs="Tahoma"/>
        </w:rPr>
      </w:pPr>
      <w:r>
        <w:rPr>
          <w:rFonts w:cs="Tahoma"/>
        </w:rPr>
        <w:t>Id</w:t>
      </w:r>
      <w:r w:rsidR="00A028F3">
        <w:rPr>
          <w:rFonts w:cs="Tahoma"/>
        </w:rPr>
        <w:t xml:space="preserve">entify </w:t>
      </w:r>
      <w:proofErr w:type="spellStart"/>
      <w:r w:rsidR="00A028F3">
        <w:rPr>
          <w:rFonts w:cs="Tahoma"/>
        </w:rPr>
        <w:t>subrecipients</w:t>
      </w:r>
      <w:proofErr w:type="spellEnd"/>
      <w:r w:rsidR="00A028F3">
        <w:rPr>
          <w:rFonts w:cs="Tahoma"/>
        </w:rPr>
        <w:t xml:space="preserve"> to receive</w:t>
      </w:r>
      <w:r w:rsidRPr="001E7AF7">
        <w:rPr>
          <w:rFonts w:cs="Tahoma"/>
        </w:rPr>
        <w:t xml:space="preserve"> monitoring</w:t>
      </w:r>
    </w:p>
    <w:p w:rsidR="00A028F3" w:rsidRDefault="00A028F3" w:rsidP="00A028F3">
      <w:pPr>
        <w:pStyle w:val="ListParagraph"/>
        <w:numPr>
          <w:ilvl w:val="1"/>
          <w:numId w:val="11"/>
        </w:numPr>
        <w:rPr>
          <w:rFonts w:cs="Tahoma"/>
        </w:rPr>
      </w:pPr>
      <w:r>
        <w:rPr>
          <w:rFonts w:cs="Tahoma"/>
        </w:rPr>
        <w:t xml:space="preserve">The use of CARES Act ESSER fund will be </w:t>
      </w:r>
      <w:r w:rsidR="00026DEE">
        <w:rPr>
          <w:rFonts w:cs="Tahoma"/>
        </w:rPr>
        <w:t xml:space="preserve">continuously </w:t>
      </w:r>
      <w:r>
        <w:rPr>
          <w:rFonts w:cs="Tahoma"/>
        </w:rPr>
        <w:t xml:space="preserve">monitored for all </w:t>
      </w:r>
      <w:proofErr w:type="spellStart"/>
      <w:r>
        <w:rPr>
          <w:rFonts w:cs="Tahoma"/>
        </w:rPr>
        <w:t>subrecipients</w:t>
      </w:r>
      <w:proofErr w:type="spellEnd"/>
      <w:r>
        <w:rPr>
          <w:rFonts w:cs="Tahoma"/>
        </w:rPr>
        <w:t xml:space="preserve"> using the </w:t>
      </w:r>
      <w:r w:rsidR="00A132A4">
        <w:rPr>
          <w:rFonts w:cs="Tahoma"/>
        </w:rPr>
        <w:t xml:space="preserve">OMEGA application, budget transfer, and reimbursement approval process </w:t>
      </w:r>
      <w:r>
        <w:rPr>
          <w:rFonts w:cs="Tahoma"/>
        </w:rPr>
        <w:t xml:space="preserve">outlined above; certain </w:t>
      </w:r>
      <w:proofErr w:type="spellStart"/>
      <w:r>
        <w:rPr>
          <w:rFonts w:cs="Tahoma"/>
        </w:rPr>
        <w:t>subrecipients</w:t>
      </w:r>
      <w:proofErr w:type="spellEnd"/>
      <w:r>
        <w:rPr>
          <w:rFonts w:cs="Tahoma"/>
        </w:rPr>
        <w:t xml:space="preserve"> will be identified to receive formal monitoring </w:t>
      </w:r>
      <w:r w:rsidR="00A132A4">
        <w:rPr>
          <w:rFonts w:cs="Tahoma"/>
        </w:rPr>
        <w:t xml:space="preserve">using the monitoring protocol </w:t>
      </w:r>
      <w:r w:rsidR="00555389">
        <w:rPr>
          <w:rFonts w:cs="Tahoma"/>
        </w:rPr>
        <w:t>based on a risk assessment</w:t>
      </w:r>
      <w:r>
        <w:rPr>
          <w:rFonts w:cs="Tahoma"/>
        </w:rPr>
        <w:t>.</w:t>
      </w:r>
    </w:p>
    <w:p w:rsidR="00A132A4" w:rsidRDefault="00A132A4" w:rsidP="00A132A4">
      <w:pPr>
        <w:pStyle w:val="ListParagraph"/>
        <w:numPr>
          <w:ilvl w:val="1"/>
          <w:numId w:val="11"/>
        </w:numPr>
        <w:rPr>
          <w:rFonts w:cs="Tahoma"/>
        </w:rPr>
      </w:pPr>
      <w:r>
        <w:rPr>
          <w:rFonts w:cs="Tahoma"/>
        </w:rPr>
        <w:t xml:space="preserve">Factors including funding amount, uses of funds as outlined in the program application, timeliness in submitting the program application and reimbursement requests, and program coordinator experience will be considered in identifying </w:t>
      </w:r>
      <w:proofErr w:type="spellStart"/>
      <w:r>
        <w:rPr>
          <w:rFonts w:cs="Tahoma"/>
        </w:rPr>
        <w:t>subrecipients</w:t>
      </w:r>
      <w:proofErr w:type="spellEnd"/>
      <w:r>
        <w:rPr>
          <w:rFonts w:cs="Tahoma"/>
        </w:rPr>
        <w:t xml:space="preserve"> for monitoring. </w:t>
      </w:r>
    </w:p>
    <w:p w:rsidR="00A132A4" w:rsidRDefault="00A132A4" w:rsidP="00A132A4">
      <w:pPr>
        <w:pStyle w:val="ListParagraph"/>
        <w:numPr>
          <w:ilvl w:val="0"/>
          <w:numId w:val="11"/>
        </w:numPr>
        <w:rPr>
          <w:rFonts w:cs="Tahoma"/>
        </w:rPr>
      </w:pPr>
      <w:r>
        <w:rPr>
          <w:rFonts w:cs="Tahoma"/>
        </w:rPr>
        <w:t>Schedule monitoring</w:t>
      </w:r>
    </w:p>
    <w:p w:rsidR="00A132A4" w:rsidRDefault="00A132A4" w:rsidP="00A132A4">
      <w:pPr>
        <w:pStyle w:val="ListParagraph"/>
        <w:numPr>
          <w:ilvl w:val="1"/>
          <w:numId w:val="11"/>
        </w:numPr>
        <w:rPr>
          <w:rFonts w:cs="Tahoma"/>
        </w:rPr>
      </w:pPr>
      <w:proofErr w:type="spellStart"/>
      <w:r>
        <w:rPr>
          <w:rFonts w:cs="Tahoma"/>
        </w:rPr>
        <w:t>Subrecipient</w:t>
      </w:r>
      <w:proofErr w:type="spellEnd"/>
      <w:r>
        <w:rPr>
          <w:rFonts w:cs="Tahoma"/>
        </w:rPr>
        <w:t xml:space="preserve"> monitoring will be scheduled in 2021 and in 2022. </w:t>
      </w:r>
    </w:p>
    <w:p w:rsidR="00A132A4" w:rsidRPr="00A132A4" w:rsidRDefault="00A132A4" w:rsidP="00A132A4">
      <w:pPr>
        <w:pStyle w:val="ListParagraph"/>
        <w:numPr>
          <w:ilvl w:val="1"/>
          <w:numId w:val="11"/>
        </w:numPr>
        <w:rPr>
          <w:rFonts w:cs="Tahoma"/>
        </w:rPr>
      </w:pPr>
      <w:proofErr w:type="spellStart"/>
      <w:r>
        <w:rPr>
          <w:rFonts w:cs="Tahoma"/>
        </w:rPr>
        <w:t>Subrecipients</w:t>
      </w:r>
      <w:proofErr w:type="spellEnd"/>
      <w:r>
        <w:rPr>
          <w:rFonts w:cs="Tahoma"/>
        </w:rPr>
        <w:t xml:space="preserve"> identified as having higher risk will be monitored first.</w:t>
      </w:r>
    </w:p>
    <w:p w:rsidR="001E7AF7" w:rsidRDefault="001E7AF7" w:rsidP="001E7AF7">
      <w:pPr>
        <w:pStyle w:val="ListParagraph"/>
        <w:numPr>
          <w:ilvl w:val="0"/>
          <w:numId w:val="11"/>
        </w:numPr>
        <w:rPr>
          <w:rFonts w:cs="Tahoma"/>
        </w:rPr>
      </w:pPr>
      <w:r>
        <w:rPr>
          <w:rFonts w:cs="Tahoma"/>
        </w:rPr>
        <w:t xml:space="preserve">Provide technical assistance </w:t>
      </w:r>
      <w:bookmarkEnd w:id="1"/>
    </w:p>
    <w:p w:rsidR="00B61E80" w:rsidRPr="001E7AF7" w:rsidRDefault="00B61E80" w:rsidP="001E7AF7">
      <w:pPr>
        <w:pStyle w:val="ListParagraph"/>
        <w:numPr>
          <w:ilvl w:val="1"/>
          <w:numId w:val="11"/>
        </w:numPr>
        <w:rPr>
          <w:rFonts w:cs="Tahoma"/>
        </w:rPr>
      </w:pPr>
      <w:r w:rsidRPr="00AF01BE">
        <w:t xml:space="preserve">Prior to the </w:t>
      </w:r>
      <w:proofErr w:type="spellStart"/>
      <w:r w:rsidR="00A028F3">
        <w:t>subrecipient</w:t>
      </w:r>
      <w:proofErr w:type="spellEnd"/>
      <w:r w:rsidR="00A028F3">
        <w:t xml:space="preserve"> </w:t>
      </w:r>
      <w:r w:rsidRPr="00AF01BE">
        <w:t xml:space="preserve">monitoring visit, </w:t>
      </w:r>
      <w:r>
        <w:t>an audio conference call or webinar will be co</w:t>
      </w:r>
      <w:r w:rsidR="001E7AF7">
        <w:t xml:space="preserve">nducted to </w:t>
      </w:r>
      <w:r w:rsidRPr="00AF01BE">
        <w:t xml:space="preserve">assist </w:t>
      </w:r>
      <w:proofErr w:type="spellStart"/>
      <w:r w:rsidR="001E7AF7">
        <w:t>subrecipients</w:t>
      </w:r>
      <w:proofErr w:type="spellEnd"/>
      <w:r w:rsidR="001E7AF7">
        <w:t xml:space="preserve"> as they prepare for monitoring. The monitor</w:t>
      </w:r>
      <w:r w:rsidR="00A028F3">
        <w:t>ing protocol</w:t>
      </w:r>
      <w:r w:rsidR="001E7AF7">
        <w:t xml:space="preserve"> will be reviewed. </w:t>
      </w:r>
      <w:r w:rsidR="00555389">
        <w:t xml:space="preserve">An overview of the </w:t>
      </w:r>
      <w:r w:rsidR="001E7AF7">
        <w:t xml:space="preserve">fiscal and programmatic </w:t>
      </w:r>
      <w:r>
        <w:t>documen</w:t>
      </w:r>
      <w:r w:rsidR="00555389">
        <w:t>tation to</w:t>
      </w:r>
      <w:r w:rsidR="00A028F3">
        <w:t xml:space="preserve"> be reviewed </w:t>
      </w:r>
      <w:r>
        <w:t>during t</w:t>
      </w:r>
      <w:r w:rsidR="00555389">
        <w:t xml:space="preserve">he monitoring process will </w:t>
      </w:r>
      <w:r>
        <w:t xml:space="preserve">be provided. </w:t>
      </w:r>
      <w:r w:rsidRPr="00AF01BE">
        <w:t xml:space="preserve"> </w:t>
      </w:r>
    </w:p>
    <w:p w:rsidR="001E7AF7" w:rsidRPr="00A132A4" w:rsidRDefault="001E7AF7" w:rsidP="001E7AF7">
      <w:pPr>
        <w:pStyle w:val="ListParagraph"/>
        <w:numPr>
          <w:ilvl w:val="0"/>
          <w:numId w:val="11"/>
        </w:numPr>
        <w:rPr>
          <w:rFonts w:cs="Tahoma"/>
        </w:rPr>
      </w:pPr>
      <w:r>
        <w:lastRenderedPageBreak/>
        <w:t>Conduct monitoring</w:t>
      </w:r>
    </w:p>
    <w:p w:rsidR="00A132A4" w:rsidRPr="00A132A4" w:rsidRDefault="00A132A4" w:rsidP="00A132A4">
      <w:pPr>
        <w:pStyle w:val="ListParagraph"/>
        <w:numPr>
          <w:ilvl w:val="1"/>
          <w:numId w:val="11"/>
        </w:numPr>
        <w:rPr>
          <w:rFonts w:cs="Tahoma"/>
        </w:rPr>
      </w:pPr>
      <w:r>
        <w:t>Monitoring will take place through an on-site or virtual review.</w:t>
      </w:r>
    </w:p>
    <w:p w:rsidR="00640A8B" w:rsidRPr="00640A8B" w:rsidRDefault="00B61E80" w:rsidP="00B61E80">
      <w:pPr>
        <w:pStyle w:val="ListParagraph"/>
        <w:numPr>
          <w:ilvl w:val="1"/>
          <w:numId w:val="11"/>
        </w:numPr>
        <w:rPr>
          <w:rFonts w:cs="Tahoma"/>
        </w:rPr>
      </w:pPr>
      <w:r w:rsidRPr="001E7AF7">
        <w:rPr>
          <w:rFonts w:cs="Tahoma"/>
        </w:rPr>
        <w:t>During the</w:t>
      </w:r>
      <w:r w:rsidR="00D77FA6">
        <w:rPr>
          <w:rFonts w:cs="Tahoma"/>
        </w:rPr>
        <w:t xml:space="preserve"> on-site or virtual</w:t>
      </w:r>
      <w:r w:rsidRPr="001E7AF7">
        <w:rPr>
          <w:rFonts w:cs="Tahoma"/>
        </w:rPr>
        <w:t xml:space="preserve"> monitoring visit, VDOE staff will review documentation and </w:t>
      </w:r>
      <w:proofErr w:type="spellStart"/>
      <w:r w:rsidR="001E7AF7">
        <w:rPr>
          <w:rFonts w:cs="Tahoma"/>
        </w:rPr>
        <w:t>subrecipients</w:t>
      </w:r>
      <w:proofErr w:type="spellEnd"/>
      <w:r w:rsidRPr="001E7AF7">
        <w:rPr>
          <w:rFonts w:cs="Tahoma"/>
        </w:rPr>
        <w:t xml:space="preserve"> will be interviewed.  </w:t>
      </w:r>
    </w:p>
    <w:p w:rsidR="00640A8B" w:rsidRPr="00640A8B" w:rsidRDefault="00640A8B" w:rsidP="00B61E80">
      <w:pPr>
        <w:pStyle w:val="ListParagraph"/>
        <w:numPr>
          <w:ilvl w:val="0"/>
          <w:numId w:val="11"/>
        </w:numPr>
        <w:rPr>
          <w:rFonts w:cs="Tahoma"/>
        </w:rPr>
      </w:pPr>
      <w:r>
        <w:t>Notification of findings</w:t>
      </w:r>
      <w:r w:rsidR="00B61E80" w:rsidRPr="00EC5E5F">
        <w:t xml:space="preserve"> </w:t>
      </w:r>
    </w:p>
    <w:p w:rsidR="00640A8B" w:rsidRDefault="00B61E80" w:rsidP="00640A8B">
      <w:pPr>
        <w:pStyle w:val="ListParagraph"/>
        <w:numPr>
          <w:ilvl w:val="1"/>
          <w:numId w:val="11"/>
        </w:numPr>
        <w:rPr>
          <w:rFonts w:cs="Tahoma"/>
        </w:rPr>
      </w:pPr>
      <w:r w:rsidRPr="00640A8B">
        <w:rPr>
          <w:rFonts w:cs="Tahoma"/>
        </w:rPr>
        <w:t xml:space="preserve">After the monitoring visit, a letter regarding the results of the visit will be prepared.  The letter will indicate whether the </w:t>
      </w:r>
      <w:proofErr w:type="spellStart"/>
      <w:r w:rsidR="00640A8B">
        <w:rPr>
          <w:rFonts w:cs="Tahoma"/>
        </w:rPr>
        <w:t>subrecipient</w:t>
      </w:r>
      <w:proofErr w:type="spellEnd"/>
      <w:r w:rsidRPr="00640A8B">
        <w:rPr>
          <w:rFonts w:cs="Tahoma"/>
        </w:rPr>
        <w:t xml:space="preserve"> was fully in compliance </w:t>
      </w:r>
      <w:r w:rsidR="00D77FA6">
        <w:rPr>
          <w:rFonts w:cs="Tahoma"/>
        </w:rPr>
        <w:t xml:space="preserve">or </w:t>
      </w:r>
      <w:r w:rsidRPr="00640A8B">
        <w:rPr>
          <w:rFonts w:cs="Tahoma"/>
        </w:rPr>
        <w:t xml:space="preserve">whether </w:t>
      </w:r>
      <w:r w:rsidR="00640A8B">
        <w:rPr>
          <w:rFonts w:cs="Tahoma"/>
        </w:rPr>
        <w:t xml:space="preserve">there are </w:t>
      </w:r>
      <w:r w:rsidRPr="00640A8B">
        <w:rPr>
          <w:rFonts w:cs="Tahoma"/>
        </w:rPr>
        <w:t xml:space="preserve">areas </w:t>
      </w:r>
      <w:r w:rsidR="00D77FA6">
        <w:rPr>
          <w:rFonts w:cs="Tahoma"/>
        </w:rPr>
        <w:t>of non</w:t>
      </w:r>
      <w:r w:rsidRPr="00640A8B">
        <w:rPr>
          <w:rFonts w:cs="Tahoma"/>
        </w:rPr>
        <w:t xml:space="preserve">compliance.  </w:t>
      </w:r>
    </w:p>
    <w:p w:rsidR="00B61E80" w:rsidRDefault="00640A8B" w:rsidP="00640A8B">
      <w:pPr>
        <w:pStyle w:val="ListParagraph"/>
        <w:numPr>
          <w:ilvl w:val="1"/>
          <w:numId w:val="11"/>
        </w:numPr>
        <w:rPr>
          <w:rFonts w:cs="Tahoma"/>
        </w:rPr>
      </w:pPr>
      <w:r>
        <w:rPr>
          <w:rFonts w:cs="Tahoma"/>
        </w:rPr>
        <w:t xml:space="preserve">If a </w:t>
      </w:r>
      <w:proofErr w:type="spellStart"/>
      <w:r>
        <w:rPr>
          <w:rFonts w:cs="Tahoma"/>
        </w:rPr>
        <w:t>subrecipient</w:t>
      </w:r>
      <w:proofErr w:type="spellEnd"/>
      <w:r w:rsidR="00D77FA6">
        <w:rPr>
          <w:rFonts w:cs="Tahoma"/>
        </w:rPr>
        <w:t xml:space="preserve"> receives a letter of non</w:t>
      </w:r>
      <w:r w:rsidR="00B61E80" w:rsidRPr="00640A8B">
        <w:rPr>
          <w:rFonts w:cs="Tahoma"/>
        </w:rPr>
        <w:t xml:space="preserve">compliance, action steps and a timeline for completion will be indicated. </w:t>
      </w:r>
    </w:p>
    <w:p w:rsidR="00640A8B" w:rsidRPr="006D31EF" w:rsidRDefault="006D31EF" w:rsidP="006D31EF">
      <w:pPr>
        <w:pStyle w:val="ListParagraph"/>
        <w:numPr>
          <w:ilvl w:val="1"/>
          <w:numId w:val="11"/>
        </w:numPr>
        <w:rPr>
          <w:rFonts w:cs="Tahoma"/>
        </w:rPr>
      </w:pPr>
      <w:r>
        <w:rPr>
          <w:rFonts w:cs="Tahoma"/>
        </w:rPr>
        <w:t>VDOE staff will monitor the comp</w:t>
      </w:r>
      <w:r w:rsidR="00EE3CA2">
        <w:rPr>
          <w:rFonts w:cs="Tahoma"/>
        </w:rPr>
        <w:t>letion of action steps</w:t>
      </w:r>
      <w:r>
        <w:rPr>
          <w:rFonts w:cs="Tahoma"/>
        </w:rPr>
        <w:t>.</w:t>
      </w:r>
    </w:p>
    <w:p w:rsidR="00B61E80" w:rsidRDefault="00B61E80" w:rsidP="00B61E80">
      <w:pPr>
        <w:rPr>
          <w:rFonts w:cs="Tahoma"/>
        </w:rPr>
      </w:pPr>
      <w:r>
        <w:rPr>
          <w:rFonts w:cs="Tahoma"/>
        </w:rPr>
        <w:t xml:space="preserve"> </w:t>
      </w:r>
    </w:p>
    <w:p w:rsidR="00B61E80" w:rsidRDefault="00B61E80" w:rsidP="00B61E80">
      <w:pPr>
        <w:rPr>
          <w:rFonts w:cs="Tahoma"/>
        </w:rPr>
      </w:pPr>
    </w:p>
    <w:p w:rsidR="00B61E80" w:rsidRDefault="00B61E80" w:rsidP="00B61E80">
      <w:pPr>
        <w:rPr>
          <w:rFonts w:cs="Tahoma"/>
        </w:rPr>
      </w:pPr>
    </w:p>
    <w:p w:rsidR="00B61E80" w:rsidRDefault="00B61E80" w:rsidP="00B61E80">
      <w:pPr>
        <w:rPr>
          <w:rFonts w:cs="Tahoma"/>
        </w:rPr>
      </w:pPr>
    </w:p>
    <w:p w:rsidR="00B61E80" w:rsidRPr="00A12B8F" w:rsidRDefault="00B61E80" w:rsidP="00A12B8F">
      <w:pPr>
        <w:rPr>
          <w:b/>
        </w:rPr>
      </w:pPr>
    </w:p>
    <w:sectPr w:rsidR="00B61E80" w:rsidRPr="00A1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463344"/>
    <w:multiLevelType w:val="hybridMultilevel"/>
    <w:tmpl w:val="A993CA1C"/>
    <w:lvl w:ilvl="0" w:tplc="FFFFFFFF">
      <w:start w:val="1"/>
      <w:numFmt w:val="ideographDigital"/>
      <w:lvlText w:val=""/>
      <w:lvlJc w:val="left"/>
    </w:lvl>
    <w:lvl w:ilvl="1" w:tplc="FFFFFFFF">
      <w:start w:val="1"/>
      <w:numFmt w:val="ideographDigital"/>
      <w:lvlText w:val=""/>
      <w:lvlJc w:val="left"/>
    </w:lvl>
    <w:lvl w:ilvl="2" w:tplc="0E5B1C9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A7A619DA"/>
    <w:lvl w:ilvl="0">
      <w:numFmt w:val="bullet"/>
      <w:lvlText w:val="*"/>
      <w:lvlJc w:val="left"/>
    </w:lvl>
  </w:abstractNum>
  <w:abstractNum w:abstractNumId="2" w15:restartNumberingAfterBreak="0">
    <w:nsid w:val="035F0EA3"/>
    <w:multiLevelType w:val="hybridMultilevel"/>
    <w:tmpl w:val="525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555B1"/>
    <w:multiLevelType w:val="hybridMultilevel"/>
    <w:tmpl w:val="75D26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30BE6"/>
    <w:multiLevelType w:val="hybridMultilevel"/>
    <w:tmpl w:val="57026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12936"/>
    <w:multiLevelType w:val="hybridMultilevel"/>
    <w:tmpl w:val="20187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39B474A4"/>
    <w:multiLevelType w:val="hybridMultilevel"/>
    <w:tmpl w:val="0E18FF74"/>
    <w:lvl w:ilvl="0" w:tplc="20269B68">
      <w:start w:val="9"/>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4286E"/>
    <w:multiLevelType w:val="hybridMultilevel"/>
    <w:tmpl w:val="7F2662F8"/>
    <w:lvl w:ilvl="0" w:tplc="20269B68">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679E9"/>
    <w:multiLevelType w:val="hybridMultilevel"/>
    <w:tmpl w:val="82D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F3E99"/>
    <w:multiLevelType w:val="hybridMultilevel"/>
    <w:tmpl w:val="48E6300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52E60FC7"/>
    <w:multiLevelType w:val="hybridMultilevel"/>
    <w:tmpl w:val="2056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72903"/>
    <w:multiLevelType w:val="hybridMultilevel"/>
    <w:tmpl w:val="48E8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1132A"/>
    <w:multiLevelType w:val="hybridMultilevel"/>
    <w:tmpl w:val="C73C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lvlOverride w:ilvl="0">
      <w:lvl w:ilvl="0">
        <w:numFmt w:val="bullet"/>
        <w:lvlText w:val=""/>
        <w:legacy w:legacy="1" w:legacySpace="0" w:legacyIndent="360"/>
        <w:lvlJc w:val="left"/>
        <w:rPr>
          <w:rFonts w:ascii="Symbol" w:hAnsi="Symbol" w:hint="default"/>
        </w:rPr>
      </w:lvl>
    </w:lvlOverride>
  </w:num>
  <w:num w:numId="8">
    <w:abstractNumId w:val="10"/>
  </w:num>
  <w:num w:numId="9">
    <w:abstractNumId w:val="8"/>
  </w:num>
  <w:num w:numId="10">
    <w:abstractNumId w:val="9"/>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8F"/>
    <w:rsid w:val="00001066"/>
    <w:rsid w:val="00026DEE"/>
    <w:rsid w:val="00026F81"/>
    <w:rsid w:val="00031DF6"/>
    <w:rsid w:val="000A6B27"/>
    <w:rsid w:val="0016345F"/>
    <w:rsid w:val="001869A6"/>
    <w:rsid w:val="00190E6D"/>
    <w:rsid w:val="001D75E3"/>
    <w:rsid w:val="001E7AF7"/>
    <w:rsid w:val="00246EA2"/>
    <w:rsid w:val="0026759D"/>
    <w:rsid w:val="002738D1"/>
    <w:rsid w:val="00277605"/>
    <w:rsid w:val="002A077B"/>
    <w:rsid w:val="002D26C9"/>
    <w:rsid w:val="00316A8C"/>
    <w:rsid w:val="00320ACB"/>
    <w:rsid w:val="00364944"/>
    <w:rsid w:val="003D73D9"/>
    <w:rsid w:val="003E1D15"/>
    <w:rsid w:val="00431961"/>
    <w:rsid w:val="00431B36"/>
    <w:rsid w:val="004767E5"/>
    <w:rsid w:val="004F52C7"/>
    <w:rsid w:val="00506474"/>
    <w:rsid w:val="00530C85"/>
    <w:rsid w:val="00542D06"/>
    <w:rsid w:val="00546B01"/>
    <w:rsid w:val="00555389"/>
    <w:rsid w:val="0056731D"/>
    <w:rsid w:val="005A0DC2"/>
    <w:rsid w:val="005C1426"/>
    <w:rsid w:val="00640A8B"/>
    <w:rsid w:val="00685F2E"/>
    <w:rsid w:val="006D31EF"/>
    <w:rsid w:val="00716764"/>
    <w:rsid w:val="00734E57"/>
    <w:rsid w:val="00757877"/>
    <w:rsid w:val="007A00BC"/>
    <w:rsid w:val="007A5B47"/>
    <w:rsid w:val="007F3BC0"/>
    <w:rsid w:val="008C755D"/>
    <w:rsid w:val="00910E1A"/>
    <w:rsid w:val="00965FB8"/>
    <w:rsid w:val="00997F46"/>
    <w:rsid w:val="009F6C6F"/>
    <w:rsid w:val="00A028F3"/>
    <w:rsid w:val="00A12B8F"/>
    <w:rsid w:val="00A132A4"/>
    <w:rsid w:val="00A6205D"/>
    <w:rsid w:val="00A71A00"/>
    <w:rsid w:val="00AA5DD4"/>
    <w:rsid w:val="00B61135"/>
    <w:rsid w:val="00B61C74"/>
    <w:rsid w:val="00B61E80"/>
    <w:rsid w:val="00C57627"/>
    <w:rsid w:val="00CA24E0"/>
    <w:rsid w:val="00D13900"/>
    <w:rsid w:val="00D16626"/>
    <w:rsid w:val="00D518C5"/>
    <w:rsid w:val="00D6656F"/>
    <w:rsid w:val="00D7286D"/>
    <w:rsid w:val="00D77FA6"/>
    <w:rsid w:val="00DA65FD"/>
    <w:rsid w:val="00EE3CA2"/>
    <w:rsid w:val="00EF1D18"/>
    <w:rsid w:val="00F01C6C"/>
    <w:rsid w:val="00F102FC"/>
    <w:rsid w:val="00F12937"/>
    <w:rsid w:val="00F31F57"/>
    <w:rsid w:val="00F9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C17B"/>
  <w15:chartTrackingRefBased/>
  <w15:docId w15:val="{EB153128-16A2-4087-941B-11314103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1E80"/>
    <w:pPr>
      <w:keepNext/>
      <w:spacing w:after="0" w:line="240" w:lineRule="auto"/>
      <w:outlineLvl w:val="0"/>
    </w:pPr>
    <w:rPr>
      <w:rFonts w:ascii="Times New Roman" w:eastAsia="Calibri" w:hAnsi="Times New Roman" w:cs="Times New Roman"/>
      <w:b/>
      <w:bCs/>
      <w:sz w:val="24"/>
      <w:szCs w:val="24"/>
    </w:rPr>
  </w:style>
  <w:style w:type="paragraph" w:styleId="Heading3">
    <w:name w:val="heading 3"/>
    <w:basedOn w:val="Normal"/>
    <w:next w:val="Normal"/>
    <w:link w:val="Heading3Char"/>
    <w:qFormat/>
    <w:rsid w:val="00B61E80"/>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B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B61E80"/>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B61E80"/>
    <w:rPr>
      <w:rFonts w:ascii="Times New Roman" w:eastAsia="Times New Roman" w:hAnsi="Times New Roman" w:cs="Times New Roman"/>
      <w:b/>
      <w:bCs/>
      <w:sz w:val="24"/>
      <w:szCs w:val="24"/>
    </w:rPr>
  </w:style>
  <w:style w:type="paragraph" w:styleId="BodyText">
    <w:name w:val="Body Text"/>
    <w:basedOn w:val="Normal"/>
    <w:link w:val="BodyTextChar"/>
    <w:rsid w:val="00B61E80"/>
    <w:pPr>
      <w:spacing w:after="0" w:line="240" w:lineRule="auto"/>
    </w:pPr>
    <w:rPr>
      <w:rFonts w:ascii="Times New Roman" w:eastAsia="Calibri" w:hAnsi="Times New Roman" w:cs="Times New Roman"/>
      <w:b/>
      <w:sz w:val="24"/>
      <w:szCs w:val="24"/>
    </w:rPr>
  </w:style>
  <w:style w:type="character" w:customStyle="1" w:styleId="BodyTextChar">
    <w:name w:val="Body Text Char"/>
    <w:basedOn w:val="DefaultParagraphFont"/>
    <w:link w:val="BodyText"/>
    <w:rsid w:val="00B61E80"/>
    <w:rPr>
      <w:rFonts w:ascii="Times New Roman" w:eastAsia="Calibri" w:hAnsi="Times New Roman" w:cs="Times New Roman"/>
      <w:b/>
      <w:sz w:val="24"/>
      <w:szCs w:val="24"/>
    </w:rPr>
  </w:style>
  <w:style w:type="paragraph" w:styleId="ListParagraph">
    <w:name w:val="List Paragraph"/>
    <w:basedOn w:val="Normal"/>
    <w:qFormat/>
    <w:rsid w:val="00B61E80"/>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1f6030a94287b2e3b5f4a6f06d50c518">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8306e96fb99c87204de7f9e0db7da130"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documentManagement>
</p:properties>
</file>

<file path=customXml/itemProps1.xml><?xml version="1.0" encoding="utf-8"?>
<ds:datastoreItem xmlns:ds="http://schemas.openxmlformats.org/officeDocument/2006/customXml" ds:itemID="{6A2733D4-BD96-4007-A864-0D3224F1B1DE}"/>
</file>

<file path=customXml/itemProps2.xml><?xml version="1.0" encoding="utf-8"?>
<ds:datastoreItem xmlns:ds="http://schemas.openxmlformats.org/officeDocument/2006/customXml" ds:itemID="{E273E60B-286E-4706-A8BF-43A6497D8884}"/>
</file>

<file path=customXml/itemProps3.xml><?xml version="1.0" encoding="utf-8"?>
<ds:datastoreItem xmlns:ds="http://schemas.openxmlformats.org/officeDocument/2006/customXml" ds:itemID="{D7E2505D-6C3A-4764-9660-F212BBBE3954}"/>
</file>

<file path=docProps/app.xml><?xml version="1.0" encoding="utf-8"?>
<Properties xmlns="http://schemas.openxmlformats.org/officeDocument/2006/extended-properties" xmlns:vt="http://schemas.openxmlformats.org/officeDocument/2006/docPropsVTypes">
  <Template>Normal</Template>
  <TotalTime>1286</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Sodat, Lynn (DOE)</dc:creator>
  <cp:keywords/>
  <dc:description/>
  <cp:lastModifiedBy> </cp:lastModifiedBy>
  <cp:revision>45</cp:revision>
  <dcterms:created xsi:type="dcterms:W3CDTF">2020-06-04T16:43:00Z</dcterms:created>
  <dcterms:modified xsi:type="dcterms:W3CDTF">2020-06-26T15:53:00Z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ies>
</file>