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bidi="ar-SA"/>
        </w:rPr>
        <w:id w:val="10729564"/>
        <w:docPartObj>
          <w:docPartGallery w:val="Cover Pages"/>
          <w:docPartUnique/>
        </w:docPartObj>
      </w:sdtPr>
      <w:sdtEndPr>
        <w:rPr>
          <w:szCs w:val="20"/>
          <w:lang w:bidi="en-US"/>
        </w:rPr>
      </w:sdtEndPr>
      <w:sdtContent>
        <w:p w14:paraId="3EB71823" w14:textId="77777777" w:rsidR="00E20F02" w:rsidRDefault="00F3338D" w:rsidP="00AB65FF">
          <w:r>
            <w:rPr>
              <w:noProof/>
              <w:lang w:bidi="ar-SA"/>
            </w:rPr>
            <w:drawing>
              <wp:inline distT="0" distB="0" distL="0" distR="0" wp14:anchorId="6B1D10FB" wp14:editId="55215D20">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14:paraId="7E0D22FC" w14:textId="6298B6AA" w:rsidR="00836A0F" w:rsidRDefault="00836A0F" w:rsidP="00836A0F">
          <w:pPr>
            <w:pStyle w:val="Heading1"/>
          </w:pPr>
          <w:r>
            <w:t>Purpose</w:t>
          </w:r>
        </w:p>
        <w:p w14:paraId="562C477B" w14:textId="39A5D480" w:rsidR="00836A0F" w:rsidRDefault="00836A0F" w:rsidP="00836A0F">
          <w:pPr>
            <w:pStyle w:val="NoSpacing"/>
          </w:pPr>
          <w:r>
            <w:t xml:space="preserve">This Monitoring Plan is in response to the Attachment T: Grant Conditions within the </w:t>
          </w:r>
          <w:r w:rsidRPr="00836A0F">
            <w:t>GAN for the</w:t>
          </w:r>
          <w:r>
            <w:t xml:space="preserve"> Elementary and Secondary School Emergency Relief Fund (ESSER). </w:t>
          </w:r>
          <w:r w:rsidR="003E34D7">
            <w:t>I</w:t>
          </w:r>
          <w:r>
            <w:t>nc</w:t>
          </w:r>
          <w:r w:rsidR="003E34D7">
            <w:t>lude are</w:t>
          </w:r>
          <w:r>
            <w:t xml:space="preserve"> responses to III.i.a, III.i.b, III.i.c, III.ii.a, III.ii.b, and III.ii.c of that attachment. </w:t>
          </w:r>
        </w:p>
        <w:p w14:paraId="363EECBC" w14:textId="1D0E1B37" w:rsidR="00636EC1" w:rsidRDefault="00636EC1" w:rsidP="004661A2">
          <w:pPr>
            <w:pStyle w:val="Heading1"/>
          </w:pPr>
          <w:r>
            <w:t>Internal Control Plan</w:t>
          </w:r>
          <w:r w:rsidR="00836A0F">
            <w:t xml:space="preserve"> (III.i.a, III.i.b, III.i.c)</w:t>
          </w:r>
        </w:p>
        <w:p w14:paraId="66602F61" w14:textId="20871983" w:rsidR="00636EC1" w:rsidRPr="008E374B" w:rsidRDefault="00636EC1" w:rsidP="00636EC1">
          <w:pPr>
            <w:rPr>
              <w:b/>
              <w:lang w:bidi="ar-SA"/>
            </w:rPr>
          </w:pPr>
          <w:r w:rsidRPr="008E374B">
            <w:rPr>
              <w:b/>
              <w:lang w:bidi="ar-SA"/>
            </w:rPr>
            <w:t xml:space="preserve">Internal </w:t>
          </w:r>
          <w:r w:rsidR="008E374B">
            <w:rPr>
              <w:b/>
              <w:lang w:bidi="ar-SA"/>
            </w:rPr>
            <w:t>Structure for I</w:t>
          </w:r>
          <w:r w:rsidRPr="008E374B">
            <w:rPr>
              <w:b/>
              <w:lang w:bidi="ar-SA"/>
            </w:rPr>
            <w:t>m</w:t>
          </w:r>
          <w:r w:rsidR="008E374B" w:rsidRPr="008E374B">
            <w:rPr>
              <w:b/>
              <w:lang w:bidi="ar-SA"/>
            </w:rPr>
            <w:t>plementing the ESSER Fund Grant</w:t>
          </w:r>
          <w:r w:rsidRPr="008E374B">
            <w:rPr>
              <w:b/>
              <w:lang w:bidi="ar-SA"/>
            </w:rPr>
            <w:t xml:space="preserve"> </w:t>
          </w:r>
        </w:p>
        <w:p w14:paraId="7761EBD4" w14:textId="5224FF4F" w:rsidR="00636EC1" w:rsidRDefault="00C87547" w:rsidP="00636EC1">
          <w:pPr>
            <w:rPr>
              <w:lang w:bidi="ar-SA"/>
            </w:rPr>
          </w:pPr>
          <w:r>
            <w:rPr>
              <w:lang w:bidi="ar-SA"/>
            </w:rPr>
            <w:t>The Minnesota Department of Education internal structure supports comprehensive oversight and internal controls. The Deputy Commissioner of Education provides direction to a leadership team, comprised of an Assistant Commissioner, the Chief Financial Officer, the Director o</w:t>
          </w:r>
          <w:r w:rsidR="003E34D7">
            <w:rPr>
              <w:lang w:bidi="ar-SA"/>
            </w:rPr>
            <w:t>f Agency Finance, an IT Project Manager, a Supervisor of Federal Programs, and a Grant Program Specialist. This team coordinates all implementation and monitoring to ensure internal controls</w:t>
          </w:r>
          <w:r w:rsidR="00A3771F">
            <w:rPr>
              <w:lang w:bidi="ar-SA"/>
            </w:rPr>
            <w:t xml:space="preserve"> and appropriate use of funds</w:t>
          </w:r>
          <w:r w:rsidR="003E34D7">
            <w:rPr>
              <w:lang w:bidi="ar-SA"/>
            </w:rPr>
            <w:t xml:space="preserve">. </w:t>
          </w:r>
        </w:p>
        <w:tbl>
          <w:tblPr>
            <w:tblStyle w:val="TableGrid"/>
            <w:tblW w:w="0" w:type="auto"/>
            <w:tblLook w:val="04A0" w:firstRow="1" w:lastRow="0" w:firstColumn="1" w:lastColumn="0" w:noHBand="0" w:noVBand="1"/>
          </w:tblPr>
          <w:tblGrid>
            <w:gridCol w:w="2965"/>
            <w:gridCol w:w="3510"/>
            <w:gridCol w:w="3510"/>
          </w:tblGrid>
          <w:tr w:rsidR="008E374B" w14:paraId="775B1853" w14:textId="33044173" w:rsidTr="00456342">
            <w:tc>
              <w:tcPr>
                <w:tcW w:w="2965" w:type="dxa"/>
              </w:tcPr>
              <w:p w14:paraId="7A8C55EF" w14:textId="14EE560A" w:rsidR="008E374B" w:rsidRPr="008E374B" w:rsidRDefault="008E374B" w:rsidP="003E34D7">
                <w:pPr>
                  <w:spacing w:before="0" w:after="0"/>
                  <w:rPr>
                    <w:b/>
                    <w:lang w:bidi="ar-SA"/>
                  </w:rPr>
                </w:pPr>
                <w:r w:rsidRPr="008E374B">
                  <w:rPr>
                    <w:b/>
                    <w:lang w:bidi="ar-SA"/>
                  </w:rPr>
                  <w:t>Name</w:t>
                </w:r>
              </w:p>
            </w:tc>
            <w:tc>
              <w:tcPr>
                <w:tcW w:w="3510" w:type="dxa"/>
              </w:tcPr>
              <w:p w14:paraId="74C9A8BC" w14:textId="61EDC9DD" w:rsidR="008E374B" w:rsidRPr="008E374B" w:rsidRDefault="008E374B" w:rsidP="003E34D7">
                <w:pPr>
                  <w:spacing w:before="0" w:after="0"/>
                  <w:rPr>
                    <w:b/>
                    <w:lang w:bidi="ar-SA"/>
                  </w:rPr>
                </w:pPr>
                <w:r w:rsidRPr="008E374B">
                  <w:rPr>
                    <w:b/>
                    <w:lang w:bidi="ar-SA"/>
                  </w:rPr>
                  <w:t xml:space="preserve">ESSER Implementation Role   </w:t>
                </w:r>
              </w:p>
            </w:tc>
            <w:tc>
              <w:tcPr>
                <w:tcW w:w="3510" w:type="dxa"/>
              </w:tcPr>
              <w:p w14:paraId="454FB4F0" w14:textId="3DD03F57" w:rsidR="008E374B" w:rsidRPr="008E374B" w:rsidRDefault="008E374B" w:rsidP="003E34D7">
                <w:pPr>
                  <w:spacing w:before="0" w:after="0"/>
                  <w:rPr>
                    <w:b/>
                    <w:lang w:bidi="ar-SA"/>
                  </w:rPr>
                </w:pPr>
                <w:r w:rsidRPr="008E374B">
                  <w:rPr>
                    <w:b/>
                    <w:lang w:bidi="ar-SA"/>
                  </w:rPr>
                  <w:t>Email Address</w:t>
                </w:r>
              </w:p>
            </w:tc>
          </w:tr>
          <w:tr w:rsidR="008E374B" w14:paraId="47ACBFB2" w14:textId="1DDD4510" w:rsidTr="00456342">
            <w:tc>
              <w:tcPr>
                <w:tcW w:w="2965" w:type="dxa"/>
              </w:tcPr>
              <w:p w14:paraId="7CC114DF" w14:textId="68F8978B" w:rsidR="008E374B" w:rsidRDefault="008E374B" w:rsidP="003E34D7">
                <w:pPr>
                  <w:spacing w:before="0" w:after="0"/>
                  <w:rPr>
                    <w:lang w:bidi="ar-SA"/>
                  </w:rPr>
                </w:pPr>
                <w:r>
                  <w:rPr>
                    <w:lang w:bidi="ar-SA"/>
                  </w:rPr>
                  <w:t>Heather Mueller</w:t>
                </w:r>
              </w:p>
            </w:tc>
            <w:tc>
              <w:tcPr>
                <w:tcW w:w="3510" w:type="dxa"/>
              </w:tcPr>
              <w:p w14:paraId="164A9E6F" w14:textId="5B04E155" w:rsidR="008E374B" w:rsidRDefault="008E374B" w:rsidP="003E34D7">
                <w:pPr>
                  <w:spacing w:before="0" w:after="0"/>
                  <w:rPr>
                    <w:lang w:bidi="ar-SA"/>
                  </w:rPr>
                </w:pPr>
                <w:r>
                  <w:rPr>
                    <w:lang w:bidi="ar-SA"/>
                  </w:rPr>
                  <w:t>Deputy Commissioner of Education</w:t>
                </w:r>
              </w:p>
            </w:tc>
            <w:tc>
              <w:tcPr>
                <w:tcW w:w="3510" w:type="dxa"/>
              </w:tcPr>
              <w:p w14:paraId="4CAF438A" w14:textId="4B2F438E" w:rsidR="008E374B" w:rsidRDefault="003C44CC" w:rsidP="003E34D7">
                <w:pPr>
                  <w:spacing w:before="0" w:after="0"/>
                  <w:rPr>
                    <w:lang w:bidi="ar-SA"/>
                  </w:rPr>
                </w:pPr>
                <w:r>
                  <w:rPr>
                    <w:lang w:bidi="ar-SA"/>
                  </w:rPr>
                  <w:t>heather.m</w:t>
                </w:r>
                <w:r w:rsidR="008E374B" w:rsidRPr="008E374B">
                  <w:rPr>
                    <w:lang w:bidi="ar-SA"/>
                  </w:rPr>
                  <w:t>ueller@state.mn.us</w:t>
                </w:r>
              </w:p>
            </w:tc>
          </w:tr>
          <w:tr w:rsidR="00012540" w14:paraId="10B22B26" w14:textId="77777777" w:rsidTr="00456342">
            <w:tc>
              <w:tcPr>
                <w:tcW w:w="2965" w:type="dxa"/>
              </w:tcPr>
              <w:p w14:paraId="4EAE7F92" w14:textId="742D0C3C" w:rsidR="00012540" w:rsidRDefault="00D42222" w:rsidP="003E34D7">
                <w:pPr>
                  <w:spacing w:before="0" w:after="0"/>
                  <w:rPr>
                    <w:lang w:bidi="ar-SA"/>
                  </w:rPr>
                </w:pPr>
                <w:r>
                  <w:rPr>
                    <w:lang w:bidi="ar-SA"/>
                  </w:rPr>
                  <w:t>Bobbie Burnham</w:t>
                </w:r>
              </w:p>
            </w:tc>
            <w:tc>
              <w:tcPr>
                <w:tcW w:w="3510" w:type="dxa"/>
              </w:tcPr>
              <w:p w14:paraId="1760E500" w14:textId="308264CC" w:rsidR="00012540" w:rsidRDefault="00D42222" w:rsidP="003E34D7">
                <w:pPr>
                  <w:spacing w:before="0" w:after="0"/>
                  <w:rPr>
                    <w:lang w:bidi="ar-SA"/>
                  </w:rPr>
                </w:pPr>
                <w:r>
                  <w:rPr>
                    <w:lang w:bidi="ar-SA"/>
                  </w:rPr>
                  <w:t xml:space="preserve">Assistant Commissioner </w:t>
                </w:r>
              </w:p>
            </w:tc>
            <w:tc>
              <w:tcPr>
                <w:tcW w:w="3510" w:type="dxa"/>
              </w:tcPr>
              <w:p w14:paraId="7B3DE61F" w14:textId="0DD05445" w:rsidR="00012540" w:rsidRPr="008E374B" w:rsidRDefault="00D42222" w:rsidP="003E34D7">
                <w:pPr>
                  <w:spacing w:before="0" w:after="0"/>
                  <w:rPr>
                    <w:lang w:bidi="ar-SA"/>
                  </w:rPr>
                </w:pPr>
                <w:r w:rsidRPr="00D42222">
                  <w:rPr>
                    <w:lang w:bidi="ar-SA"/>
                  </w:rPr>
                  <w:t>bobbie.burnham@state.mn.us</w:t>
                </w:r>
              </w:p>
            </w:tc>
          </w:tr>
          <w:tr w:rsidR="008E374B" w14:paraId="40BC5926" w14:textId="7ABEDEF8" w:rsidTr="00456342">
            <w:tc>
              <w:tcPr>
                <w:tcW w:w="2965" w:type="dxa"/>
              </w:tcPr>
              <w:p w14:paraId="4942F26B" w14:textId="78CA6EEE" w:rsidR="008E374B" w:rsidRDefault="008E374B" w:rsidP="003E34D7">
                <w:pPr>
                  <w:spacing w:before="0" w:after="0"/>
                  <w:rPr>
                    <w:lang w:bidi="ar-SA"/>
                  </w:rPr>
                </w:pPr>
                <w:r>
                  <w:rPr>
                    <w:lang w:bidi="ar-SA"/>
                  </w:rPr>
                  <w:t>Denise Anderson</w:t>
                </w:r>
              </w:p>
            </w:tc>
            <w:tc>
              <w:tcPr>
                <w:tcW w:w="3510" w:type="dxa"/>
              </w:tcPr>
              <w:p w14:paraId="285ADC26" w14:textId="065DB210" w:rsidR="008E374B" w:rsidRDefault="008E374B" w:rsidP="003E34D7">
                <w:pPr>
                  <w:spacing w:before="0" w:after="0"/>
                  <w:rPr>
                    <w:lang w:bidi="ar-SA"/>
                  </w:rPr>
                </w:pPr>
                <w:r>
                  <w:rPr>
                    <w:lang w:bidi="ar-SA"/>
                  </w:rPr>
                  <w:t>Chief Financial Officer</w:t>
                </w:r>
              </w:p>
            </w:tc>
            <w:tc>
              <w:tcPr>
                <w:tcW w:w="3510" w:type="dxa"/>
              </w:tcPr>
              <w:p w14:paraId="077CC822" w14:textId="267895F7" w:rsidR="008E374B" w:rsidRDefault="008E374B" w:rsidP="003E34D7">
                <w:pPr>
                  <w:spacing w:before="0" w:after="0"/>
                  <w:rPr>
                    <w:lang w:bidi="ar-SA"/>
                  </w:rPr>
                </w:pPr>
                <w:r w:rsidRPr="008E374B">
                  <w:rPr>
                    <w:lang w:bidi="ar-SA"/>
                  </w:rPr>
                  <w:t>denise.anderson@state.mn.us</w:t>
                </w:r>
              </w:p>
            </w:tc>
          </w:tr>
          <w:tr w:rsidR="008E374B" w14:paraId="71FFF74B" w14:textId="59167387" w:rsidTr="00456342">
            <w:tc>
              <w:tcPr>
                <w:tcW w:w="2965" w:type="dxa"/>
              </w:tcPr>
              <w:p w14:paraId="14B4DB40" w14:textId="47BA99A0" w:rsidR="008E374B" w:rsidRDefault="008E374B" w:rsidP="003E34D7">
                <w:pPr>
                  <w:spacing w:before="0" w:after="0"/>
                  <w:rPr>
                    <w:lang w:bidi="ar-SA"/>
                  </w:rPr>
                </w:pPr>
                <w:r>
                  <w:rPr>
                    <w:lang w:bidi="ar-SA"/>
                  </w:rPr>
                  <w:t xml:space="preserve">Andre Prahl </w:t>
                </w:r>
              </w:p>
            </w:tc>
            <w:tc>
              <w:tcPr>
                <w:tcW w:w="3510" w:type="dxa"/>
              </w:tcPr>
              <w:p w14:paraId="794BF4EC" w14:textId="4451C874" w:rsidR="008E374B" w:rsidRDefault="008E374B" w:rsidP="003E34D7">
                <w:pPr>
                  <w:spacing w:before="0" w:after="0"/>
                  <w:rPr>
                    <w:lang w:bidi="ar-SA"/>
                  </w:rPr>
                </w:pPr>
                <w:r>
                  <w:rPr>
                    <w:lang w:bidi="ar-SA"/>
                  </w:rPr>
                  <w:t>Director of Agency Finance</w:t>
                </w:r>
              </w:p>
            </w:tc>
            <w:tc>
              <w:tcPr>
                <w:tcW w:w="3510" w:type="dxa"/>
              </w:tcPr>
              <w:p w14:paraId="4D5ADE34" w14:textId="107D974F" w:rsidR="008E374B" w:rsidRDefault="008E374B" w:rsidP="003E34D7">
                <w:pPr>
                  <w:spacing w:before="0" w:after="0"/>
                  <w:rPr>
                    <w:lang w:bidi="ar-SA"/>
                  </w:rPr>
                </w:pPr>
                <w:r w:rsidRPr="008E374B">
                  <w:rPr>
                    <w:lang w:bidi="ar-SA"/>
                  </w:rPr>
                  <w:t>andre.prahl@state.mn.us</w:t>
                </w:r>
              </w:p>
            </w:tc>
          </w:tr>
          <w:tr w:rsidR="008E374B" w14:paraId="04759243" w14:textId="320B5AC4" w:rsidTr="00456342">
            <w:tc>
              <w:tcPr>
                <w:tcW w:w="2965" w:type="dxa"/>
              </w:tcPr>
              <w:p w14:paraId="03BEF84D" w14:textId="0581B928" w:rsidR="008E374B" w:rsidRDefault="008E374B" w:rsidP="003E34D7">
                <w:pPr>
                  <w:spacing w:before="0" w:after="0"/>
                  <w:rPr>
                    <w:lang w:bidi="ar-SA"/>
                  </w:rPr>
                </w:pPr>
                <w:r>
                  <w:rPr>
                    <w:lang w:bidi="ar-SA"/>
                  </w:rPr>
                  <w:t>Colleen Adams</w:t>
                </w:r>
              </w:p>
            </w:tc>
            <w:tc>
              <w:tcPr>
                <w:tcW w:w="3510" w:type="dxa"/>
              </w:tcPr>
              <w:p w14:paraId="504865C8" w14:textId="3337D786" w:rsidR="008E374B" w:rsidRDefault="008E374B" w:rsidP="003E34D7">
                <w:pPr>
                  <w:spacing w:before="0" w:after="0"/>
                  <w:rPr>
                    <w:lang w:bidi="ar-SA"/>
                  </w:rPr>
                </w:pPr>
                <w:r>
                  <w:rPr>
                    <w:lang w:bidi="ar-SA"/>
                  </w:rPr>
                  <w:t xml:space="preserve">MN.IT Project Manager </w:t>
                </w:r>
              </w:p>
            </w:tc>
            <w:tc>
              <w:tcPr>
                <w:tcW w:w="3510" w:type="dxa"/>
              </w:tcPr>
              <w:p w14:paraId="78A5DDED" w14:textId="03A36961" w:rsidR="008E374B" w:rsidRDefault="008E374B" w:rsidP="003E34D7">
                <w:pPr>
                  <w:spacing w:before="0" w:after="0"/>
                  <w:rPr>
                    <w:lang w:bidi="ar-SA"/>
                  </w:rPr>
                </w:pPr>
                <w:r w:rsidRPr="008E374B">
                  <w:rPr>
                    <w:lang w:bidi="ar-SA"/>
                  </w:rPr>
                  <w:t>colleen.adams@state.mn.us</w:t>
                </w:r>
              </w:p>
            </w:tc>
          </w:tr>
          <w:tr w:rsidR="008E374B" w14:paraId="1A9ABD07" w14:textId="0E3FCD4E" w:rsidTr="00456342">
            <w:tc>
              <w:tcPr>
                <w:tcW w:w="2965" w:type="dxa"/>
              </w:tcPr>
              <w:p w14:paraId="2D78B755" w14:textId="3B95F327" w:rsidR="008E374B" w:rsidRDefault="008E374B" w:rsidP="003E34D7">
                <w:pPr>
                  <w:spacing w:before="0" w:after="0"/>
                  <w:rPr>
                    <w:lang w:bidi="ar-SA"/>
                  </w:rPr>
                </w:pPr>
                <w:r>
                  <w:rPr>
                    <w:lang w:bidi="ar-SA"/>
                  </w:rPr>
                  <w:t>Alicia Waeffler</w:t>
                </w:r>
              </w:p>
            </w:tc>
            <w:tc>
              <w:tcPr>
                <w:tcW w:w="3510" w:type="dxa"/>
              </w:tcPr>
              <w:p w14:paraId="0B1E0B0E" w14:textId="16B6966C" w:rsidR="008E374B" w:rsidRDefault="008E374B" w:rsidP="003E34D7">
                <w:pPr>
                  <w:spacing w:before="0" w:after="0"/>
                  <w:rPr>
                    <w:lang w:bidi="ar-SA"/>
                  </w:rPr>
                </w:pPr>
                <w:r>
                  <w:rPr>
                    <w:lang w:bidi="ar-SA"/>
                  </w:rPr>
                  <w:t>Supervisor of Federal Programs</w:t>
                </w:r>
              </w:p>
            </w:tc>
            <w:tc>
              <w:tcPr>
                <w:tcW w:w="3510" w:type="dxa"/>
              </w:tcPr>
              <w:p w14:paraId="40B3D4B8" w14:textId="43C17366" w:rsidR="008E374B" w:rsidRDefault="008E374B" w:rsidP="003E34D7">
                <w:pPr>
                  <w:spacing w:before="0" w:after="0"/>
                  <w:rPr>
                    <w:lang w:bidi="ar-SA"/>
                  </w:rPr>
                </w:pPr>
                <w:r>
                  <w:rPr>
                    <w:lang w:bidi="ar-SA"/>
                  </w:rPr>
                  <w:t>alicia.waeffler@state.mn.us</w:t>
                </w:r>
              </w:p>
            </w:tc>
          </w:tr>
          <w:tr w:rsidR="008E374B" w14:paraId="5216EE13" w14:textId="4DF47733" w:rsidTr="00456342">
            <w:tc>
              <w:tcPr>
                <w:tcW w:w="2965" w:type="dxa"/>
              </w:tcPr>
              <w:p w14:paraId="3D527E13" w14:textId="4718C7D4" w:rsidR="008E374B" w:rsidRDefault="008E374B" w:rsidP="003E34D7">
                <w:pPr>
                  <w:spacing w:before="0" w:after="0"/>
                  <w:rPr>
                    <w:lang w:bidi="ar-SA"/>
                  </w:rPr>
                </w:pPr>
                <w:r>
                  <w:rPr>
                    <w:lang w:bidi="ar-SA"/>
                  </w:rPr>
                  <w:t xml:space="preserve">Michael Diedrich </w:t>
                </w:r>
              </w:p>
            </w:tc>
            <w:tc>
              <w:tcPr>
                <w:tcW w:w="3510" w:type="dxa"/>
              </w:tcPr>
              <w:p w14:paraId="20BB7226" w14:textId="7B0CD2A1" w:rsidR="008E374B" w:rsidRDefault="008E374B" w:rsidP="003E34D7">
                <w:pPr>
                  <w:spacing w:before="0" w:after="0"/>
                  <w:rPr>
                    <w:lang w:bidi="ar-SA"/>
                  </w:rPr>
                </w:pPr>
                <w:r>
                  <w:rPr>
                    <w:lang w:bidi="ar-SA"/>
                  </w:rPr>
                  <w:t>CARES Act Grant Program Specialist</w:t>
                </w:r>
              </w:p>
            </w:tc>
            <w:tc>
              <w:tcPr>
                <w:tcW w:w="3510" w:type="dxa"/>
              </w:tcPr>
              <w:p w14:paraId="368DCFFF" w14:textId="6F5687E2" w:rsidR="008E374B" w:rsidRDefault="008E374B" w:rsidP="003E34D7">
                <w:pPr>
                  <w:spacing w:before="0" w:after="0"/>
                  <w:rPr>
                    <w:lang w:bidi="ar-SA"/>
                  </w:rPr>
                </w:pPr>
                <w:r w:rsidRPr="008E374B">
                  <w:rPr>
                    <w:lang w:bidi="ar-SA"/>
                  </w:rPr>
                  <w:t>michael.diedrich@state.mn.us</w:t>
                </w:r>
              </w:p>
            </w:tc>
          </w:tr>
        </w:tbl>
        <w:p w14:paraId="751E6D8C" w14:textId="77777777" w:rsidR="008E374B" w:rsidRDefault="008E374B" w:rsidP="00636EC1">
          <w:pPr>
            <w:rPr>
              <w:lang w:bidi="ar-SA"/>
            </w:rPr>
          </w:pPr>
        </w:p>
        <w:p w14:paraId="7781F1EB" w14:textId="65A7E58E" w:rsidR="00636EC1" w:rsidRPr="008E374B" w:rsidRDefault="00636EC1" w:rsidP="00636EC1">
          <w:pPr>
            <w:rPr>
              <w:b/>
              <w:lang w:bidi="ar-SA"/>
            </w:rPr>
          </w:pPr>
          <w:r w:rsidRPr="008E374B">
            <w:rPr>
              <w:b/>
              <w:lang w:bidi="ar-SA"/>
            </w:rPr>
            <w:t xml:space="preserve">Risk Identification &amp; Mitigation </w:t>
          </w:r>
        </w:p>
        <w:p w14:paraId="32D694AE" w14:textId="1ADE53D4" w:rsidR="00735BE7" w:rsidRDefault="00181920" w:rsidP="00735BE7">
          <w:pPr>
            <w:pStyle w:val="NoSpacing"/>
            <w:numPr>
              <w:ilvl w:val="0"/>
              <w:numId w:val="37"/>
            </w:numPr>
          </w:pPr>
          <w:r w:rsidRPr="00181920">
            <w:rPr>
              <w:u w:val="single"/>
            </w:rPr>
            <w:t>Risk</w:t>
          </w:r>
          <w:r>
            <w:t xml:space="preserve">: </w:t>
          </w:r>
          <w:r w:rsidR="00735BE7" w:rsidRPr="00735BE7">
            <w:t>Use of funds for costs which are not consistent with the purpose of the award and its eligible, allowable categories.</w:t>
          </w:r>
          <w:r>
            <w:t xml:space="preserve"> </w:t>
          </w:r>
          <w:r w:rsidRPr="00181920">
            <w:rPr>
              <w:u w:val="single"/>
            </w:rPr>
            <w:t>Mitigation</w:t>
          </w:r>
          <w:r>
            <w:t xml:space="preserve">: included in subrecipient monitoring plan. </w:t>
          </w:r>
        </w:p>
        <w:p w14:paraId="4DDE3250" w14:textId="5E42AA6E" w:rsidR="00735BE7" w:rsidRDefault="00181920" w:rsidP="00735BE7">
          <w:pPr>
            <w:pStyle w:val="NoSpacing"/>
            <w:numPr>
              <w:ilvl w:val="0"/>
              <w:numId w:val="37"/>
            </w:numPr>
          </w:pPr>
          <w:r w:rsidRPr="00181920">
            <w:rPr>
              <w:u w:val="single"/>
            </w:rPr>
            <w:t>Risk</w:t>
          </w:r>
          <w:r>
            <w:t xml:space="preserve">: </w:t>
          </w:r>
          <w:r w:rsidR="00735BE7" w:rsidRPr="00735BE7">
            <w:t>Use of funds for expenditures incurred prior to the period of availability (March 13, 2020).</w:t>
          </w:r>
          <w:r>
            <w:t xml:space="preserve"> </w:t>
          </w:r>
          <w:r w:rsidRPr="00181920">
            <w:rPr>
              <w:u w:val="single"/>
            </w:rPr>
            <w:t>Mitigation</w:t>
          </w:r>
          <w:r>
            <w:t xml:space="preserve">: included in subrecipient monitoring plan and internal controls on allowable dates for requested reimbursements. </w:t>
          </w:r>
        </w:p>
        <w:p w14:paraId="404BE093" w14:textId="2F8B58B8" w:rsidR="00181920" w:rsidRDefault="00181920" w:rsidP="00181920">
          <w:pPr>
            <w:pStyle w:val="NoSpacing"/>
            <w:numPr>
              <w:ilvl w:val="0"/>
              <w:numId w:val="37"/>
            </w:numPr>
          </w:pPr>
          <w:r w:rsidRPr="00181920">
            <w:rPr>
              <w:u w:val="single"/>
            </w:rPr>
            <w:t>Risk</w:t>
          </w:r>
          <w:r w:rsidRPr="00181920">
            <w:t>:</w:t>
          </w:r>
          <w:r>
            <w:t xml:space="preserve"> </w:t>
          </w:r>
          <w:r w:rsidR="00735BE7" w:rsidRPr="00735BE7">
            <w:t>Failure to provide sufficient opportunity for all eligible nonpublic schools to participate and receive assistance that address eligible needs while maintaining direct LEA administrative control of the funds (exercising prior approval and not reimbursing or otherwise making payment to the nonpublic) in compliance with the statute’s equitable services requirements.</w:t>
          </w:r>
          <w:r>
            <w:t xml:space="preserve"> </w:t>
          </w:r>
          <w:r w:rsidRPr="00181920">
            <w:rPr>
              <w:u w:val="single"/>
            </w:rPr>
            <w:t>Mitigation</w:t>
          </w:r>
          <w:r>
            <w:t xml:space="preserve">: </w:t>
          </w:r>
          <w:r w:rsidR="00E84A01">
            <w:t>LEAs are required to complete consultation with nonpublic schools prior to submission of their application</w:t>
          </w:r>
          <w:r w:rsidR="00D42222">
            <w:t xml:space="preserve"> and verify this in their application</w:t>
          </w:r>
          <w:r w:rsidR="00E84A01">
            <w:t xml:space="preserve">. Nonpublic school expenditures will be monitored in accordance with the subrecipient monitoring plan. </w:t>
          </w:r>
          <w:r>
            <w:t xml:space="preserve"> </w:t>
          </w:r>
        </w:p>
        <w:p w14:paraId="789A4D09" w14:textId="15E20837" w:rsidR="00636EC1" w:rsidRPr="008E374B" w:rsidRDefault="00636EC1" w:rsidP="00636EC1">
          <w:pPr>
            <w:rPr>
              <w:b/>
              <w:lang w:bidi="ar-SA"/>
            </w:rPr>
          </w:pPr>
          <w:bookmarkStart w:id="0" w:name="_GoBack"/>
          <w:bookmarkEnd w:id="0"/>
          <w:r w:rsidRPr="008E374B">
            <w:rPr>
              <w:b/>
              <w:lang w:bidi="ar-SA"/>
            </w:rPr>
            <w:lastRenderedPageBreak/>
            <w:t xml:space="preserve">Primary Documentation </w:t>
          </w:r>
        </w:p>
        <w:p w14:paraId="2EEB111D" w14:textId="7D638BB0" w:rsidR="00636EC1" w:rsidRDefault="003E34D7" w:rsidP="003E34D7">
          <w:r>
            <w:rPr>
              <w:lang w:bidi="ar-SA"/>
            </w:rPr>
            <w:t>The Minnesota Department of Education utilizes a grant management system to ensure</w:t>
          </w:r>
          <w:r w:rsidR="00131943">
            <w:rPr>
              <w:lang w:bidi="ar-SA"/>
            </w:rPr>
            <w:t xml:space="preserve"> the</w:t>
          </w:r>
          <w:r>
            <w:rPr>
              <w:lang w:bidi="ar-SA"/>
            </w:rPr>
            <w:t xml:space="preserve"> primary documentation of approved plans and budgets are reviewed, approved, and retained. The staff responsible for reviewing grant applications are trained and supported by a Grant Program Specialist to ensure inter-rater reliability on approval. This system interfaces with the State of Minnesota’s payment processing system which requires the submission of allowable cost codes upon request of reimbursement. These requests will be reviewed monthly to ensure no improper payments are processed. All audits will be maintained in a secure filing system. </w:t>
          </w:r>
        </w:p>
        <w:p w14:paraId="72B18052" w14:textId="57B51ADE" w:rsidR="004661A2" w:rsidRDefault="00F86D74" w:rsidP="004661A2">
          <w:pPr>
            <w:pStyle w:val="Heading1"/>
          </w:pPr>
          <w:r>
            <w:t>Subrecipient</w:t>
          </w:r>
          <w:r w:rsidR="004661A2">
            <w:t xml:space="preserve"> Monitoring Plan</w:t>
          </w:r>
          <w:r w:rsidR="00836A0F">
            <w:t xml:space="preserve"> (III.ii.a, III.ii.b, III.ii.c)</w:t>
          </w:r>
        </w:p>
        <w:p w14:paraId="02E996FC" w14:textId="7D57AC20" w:rsidR="00654577" w:rsidRDefault="00D91C97" w:rsidP="00683F97">
          <w:pPr>
            <w:rPr>
              <w:lang w:bidi="ar-SA"/>
            </w:rPr>
          </w:pPr>
          <w:r>
            <w:rPr>
              <w:lang w:bidi="ar-SA"/>
            </w:rPr>
            <w:t>Risk assessment includes programmatic and fiscal criteria</w:t>
          </w:r>
          <w:r w:rsidR="00654577">
            <w:rPr>
              <w:lang w:bidi="ar-SA"/>
            </w:rPr>
            <w:t>, most of which are initially assessed during the application stage</w:t>
          </w:r>
          <w:r>
            <w:rPr>
              <w:lang w:bidi="ar-SA"/>
            </w:rPr>
            <w:t>.</w:t>
          </w:r>
        </w:p>
        <w:p w14:paraId="4BF39428" w14:textId="21E476BC" w:rsidR="00966D45" w:rsidRDefault="00966D45" w:rsidP="004661A2">
          <w:pPr>
            <w:rPr>
              <w:lang w:bidi="ar-SA"/>
            </w:rPr>
          </w:pPr>
          <w:r>
            <w:rPr>
              <w:lang w:bidi="ar-SA"/>
            </w:rPr>
            <w:t>Programmatic criteria include:</w:t>
          </w:r>
        </w:p>
        <w:p w14:paraId="5A87A416" w14:textId="07E6D3B4" w:rsidR="00966D45" w:rsidRDefault="00966D45" w:rsidP="00966D45">
          <w:pPr>
            <w:pStyle w:val="BulletListLevel1"/>
            <w:rPr>
              <w:lang w:bidi="ar-SA"/>
            </w:rPr>
          </w:pPr>
          <w:r>
            <w:rPr>
              <w:lang w:bidi="ar-SA"/>
            </w:rPr>
            <w:t>Applicant plan alignment with allowable uses of ESSER funds.</w:t>
          </w:r>
        </w:p>
        <w:p w14:paraId="20AECCDD" w14:textId="0482A56B" w:rsidR="00966D45" w:rsidRDefault="00966D45" w:rsidP="00966D45">
          <w:pPr>
            <w:pStyle w:val="BulletListLevel1"/>
            <w:rPr>
              <w:lang w:bidi="ar-SA"/>
            </w:rPr>
          </w:pPr>
          <w:r>
            <w:rPr>
              <w:lang w:bidi="ar-SA"/>
            </w:rPr>
            <w:t>Applicant plan alignment with identified priorities, especially for the allocations out of the state’s 9.5% reserved funds. The</w:t>
          </w:r>
          <w:r w:rsidR="00404158">
            <w:rPr>
              <w:lang w:bidi="ar-SA"/>
            </w:rPr>
            <w:t xml:space="preserve"> identified</w:t>
          </w:r>
          <w:r>
            <w:rPr>
              <w:lang w:bidi="ar-SA"/>
            </w:rPr>
            <w:t xml:space="preserve"> priorities are:</w:t>
          </w:r>
        </w:p>
        <w:p w14:paraId="6CF61133" w14:textId="77777777" w:rsidR="00966D45" w:rsidRDefault="00966D45" w:rsidP="00966D45">
          <w:pPr>
            <w:pStyle w:val="BulletListLevel2"/>
            <w:rPr>
              <w:lang w:bidi="ar-SA"/>
            </w:rPr>
          </w:pPr>
          <w:r>
            <w:rPr>
              <w:lang w:bidi="ar-SA"/>
            </w:rPr>
            <w:t>Supplementing GEER priorities such as summer school programming.</w:t>
          </w:r>
        </w:p>
        <w:p w14:paraId="36FEC657" w14:textId="77777777" w:rsidR="00966D45" w:rsidRDefault="00966D45" w:rsidP="00966D45">
          <w:pPr>
            <w:pStyle w:val="BulletListLevel2"/>
            <w:rPr>
              <w:lang w:bidi="ar-SA"/>
            </w:rPr>
          </w:pPr>
          <w:r>
            <w:rPr>
              <w:lang w:bidi="ar-SA"/>
            </w:rPr>
            <w:t>Providing mental health services, including those that are culturally specific.</w:t>
          </w:r>
        </w:p>
        <w:p w14:paraId="670BD856" w14:textId="77777777" w:rsidR="00966D45" w:rsidRDefault="00966D45" w:rsidP="00966D45">
          <w:pPr>
            <w:pStyle w:val="BulletListLevel2"/>
            <w:rPr>
              <w:lang w:bidi="ar-SA"/>
            </w:rPr>
          </w:pPr>
          <w:r>
            <w:rPr>
              <w:lang w:bidi="ar-SA"/>
            </w:rPr>
            <w:t>Meeting the specific needs of students from historically underserved populations.</w:t>
          </w:r>
        </w:p>
        <w:p w14:paraId="4C774830" w14:textId="77777777" w:rsidR="00966D45" w:rsidRDefault="00966D45" w:rsidP="00966D45">
          <w:pPr>
            <w:pStyle w:val="BulletListLevel1"/>
            <w:rPr>
              <w:lang w:bidi="ar-SA"/>
            </w:rPr>
          </w:pPr>
          <w:r>
            <w:rPr>
              <w:lang w:bidi="ar-SA"/>
            </w:rPr>
            <w:t>Inclusion of varied perspectives, including (where appropriate) tribal representatives, in plan creation and amendments.</w:t>
          </w:r>
        </w:p>
        <w:p w14:paraId="17193753" w14:textId="77777777" w:rsidR="00966D45" w:rsidRDefault="00966D45" w:rsidP="00966D45">
          <w:pPr>
            <w:pStyle w:val="BulletListLevel1"/>
            <w:rPr>
              <w:lang w:bidi="ar-SA"/>
            </w:rPr>
          </w:pPr>
          <w:r>
            <w:rPr>
              <w:lang w:bidi="ar-SA"/>
            </w:rPr>
            <w:t>Alignment of intended uses of funds with current understanding of best practices.</w:t>
          </w:r>
        </w:p>
        <w:p w14:paraId="3D6C357B" w14:textId="77777777" w:rsidR="00966D45" w:rsidRDefault="00966D45" w:rsidP="00966D45">
          <w:pPr>
            <w:pStyle w:val="BulletListLevel1"/>
            <w:rPr>
              <w:lang w:bidi="ar-SA"/>
            </w:rPr>
          </w:pPr>
          <w:r>
            <w:rPr>
              <w:lang w:bidi="ar-SA"/>
            </w:rPr>
            <w:t>Adaptation of plans to emerging circumstances and changing needs.</w:t>
          </w:r>
        </w:p>
        <w:p w14:paraId="7B4C90B6" w14:textId="77777777" w:rsidR="00966D45" w:rsidRDefault="00966D45" w:rsidP="00966D45">
          <w:pPr>
            <w:rPr>
              <w:lang w:bidi="ar-SA"/>
            </w:rPr>
          </w:pPr>
          <w:r>
            <w:rPr>
              <w:lang w:bidi="ar-SA"/>
            </w:rPr>
            <w:t>Fiscal criteria include:</w:t>
          </w:r>
        </w:p>
        <w:p w14:paraId="43589EF0" w14:textId="77777777" w:rsidR="00966D45" w:rsidRDefault="00966D45" w:rsidP="00966D45">
          <w:pPr>
            <w:pStyle w:val="BulletListLevel1"/>
            <w:rPr>
              <w:lang w:bidi="ar-SA"/>
            </w:rPr>
          </w:pPr>
          <w:r>
            <w:rPr>
              <w:lang w:bidi="ar-SA"/>
            </w:rPr>
            <w:t>Accurate calculation and distribution of equitable shares of funding to nonpublic schools.</w:t>
          </w:r>
        </w:p>
        <w:p w14:paraId="39D62ABD" w14:textId="77777777" w:rsidR="00966D45" w:rsidRDefault="00966D45" w:rsidP="00966D45">
          <w:pPr>
            <w:pStyle w:val="BulletListLevel1"/>
            <w:rPr>
              <w:lang w:bidi="ar-SA"/>
            </w:rPr>
          </w:pPr>
          <w:r>
            <w:rPr>
              <w:lang w:bidi="ar-SA"/>
            </w:rPr>
            <w:t>Alignment of expenditures with allowable uses.</w:t>
          </w:r>
        </w:p>
        <w:p w14:paraId="68326E6C" w14:textId="77777777" w:rsidR="00966D45" w:rsidRDefault="00966D45" w:rsidP="00966D45">
          <w:pPr>
            <w:pStyle w:val="BulletListLevel1"/>
            <w:rPr>
              <w:lang w:bidi="ar-SA"/>
            </w:rPr>
          </w:pPr>
          <w:r>
            <w:rPr>
              <w:lang w:bidi="ar-SA"/>
            </w:rPr>
            <w:t>Alignment of expenditures with identified priorities.</w:t>
          </w:r>
        </w:p>
        <w:p w14:paraId="71C3164C" w14:textId="77777777" w:rsidR="00966D45" w:rsidRDefault="00966D45" w:rsidP="00966D45">
          <w:pPr>
            <w:pStyle w:val="BulletListLevel1"/>
            <w:rPr>
              <w:lang w:bidi="ar-SA"/>
            </w:rPr>
          </w:pPr>
          <w:r>
            <w:rPr>
              <w:lang w:bidi="ar-SA"/>
            </w:rPr>
            <w:t>Rate of expenditures, especially for subrecipients with large grants.</w:t>
          </w:r>
        </w:p>
        <w:p w14:paraId="643B657B" w14:textId="77777777" w:rsidR="00966D45" w:rsidRDefault="00966D45" w:rsidP="00966D45">
          <w:pPr>
            <w:rPr>
              <w:lang w:bidi="ar-SA"/>
            </w:rPr>
          </w:pPr>
          <w:r>
            <w:rPr>
              <w:lang w:bidi="ar-SA"/>
            </w:rPr>
            <w:t>Additional criteria may be developed as implementation continues.</w:t>
          </w:r>
          <w:r w:rsidR="00F32F16">
            <w:rPr>
              <w:lang w:bidi="ar-SA"/>
            </w:rPr>
            <w:t xml:space="preserve"> These criteria will be based on the values of equity, engagement, effectiveness, and alignment (considering both allowability and priority).</w:t>
          </w:r>
        </w:p>
        <w:p w14:paraId="0DDFA077" w14:textId="77777777" w:rsidR="00D82DEC" w:rsidRDefault="00D82DEC" w:rsidP="00683F97">
          <w:pPr>
            <w:rPr>
              <w:lang w:bidi="ar-SA"/>
            </w:rPr>
          </w:pPr>
          <w:r>
            <w:rPr>
              <w:lang w:bidi="ar-SA"/>
            </w:rPr>
            <w:t>Application review can result in applications being:</w:t>
          </w:r>
        </w:p>
        <w:p w14:paraId="4A4E0DB4" w14:textId="77777777" w:rsidR="00D82DEC" w:rsidRDefault="00D82DEC" w:rsidP="00D82DEC">
          <w:pPr>
            <w:pStyle w:val="BulletListLevel1"/>
            <w:rPr>
              <w:lang w:bidi="ar-SA"/>
            </w:rPr>
          </w:pPr>
          <w:r>
            <w:rPr>
              <w:lang w:bidi="ar-SA"/>
            </w:rPr>
            <w:t>approved without concern</w:t>
          </w:r>
        </w:p>
        <w:p w14:paraId="3331849E" w14:textId="77777777" w:rsidR="00D82DEC" w:rsidRDefault="00683F97" w:rsidP="00D82DEC">
          <w:pPr>
            <w:pStyle w:val="BulletListLevel1"/>
            <w:rPr>
              <w:lang w:bidi="ar-SA"/>
            </w:rPr>
          </w:pPr>
          <w:r>
            <w:rPr>
              <w:lang w:bidi="ar-SA"/>
            </w:rPr>
            <w:t>approved with a warning flag that can raise the priority f</w:t>
          </w:r>
          <w:r w:rsidR="00D82DEC">
            <w:rPr>
              <w:lang w:bidi="ar-SA"/>
            </w:rPr>
            <w:t>or monitoring an approved plan</w:t>
          </w:r>
        </w:p>
        <w:p w14:paraId="7CD57CA3" w14:textId="77777777" w:rsidR="00D82DEC" w:rsidRDefault="00683F97" w:rsidP="00D82DEC">
          <w:pPr>
            <w:pStyle w:val="BulletListLevel1"/>
            <w:rPr>
              <w:lang w:bidi="ar-SA"/>
            </w:rPr>
          </w:pPr>
          <w:r>
            <w:rPr>
              <w:lang w:bidi="ar-SA"/>
            </w:rPr>
            <w:t>sent back to the applicant for</w:t>
          </w:r>
          <w:r w:rsidR="00D82DEC">
            <w:rPr>
              <w:lang w:bidi="ar-SA"/>
            </w:rPr>
            <w:t xml:space="preserve"> revision and resubmission</w:t>
          </w:r>
        </w:p>
        <w:p w14:paraId="057484EB" w14:textId="77777777" w:rsidR="00D82DEC" w:rsidRDefault="00D82DEC" w:rsidP="00D82DEC">
          <w:pPr>
            <w:pStyle w:val="BulletListLevel1"/>
            <w:rPr>
              <w:lang w:bidi="ar-SA"/>
            </w:rPr>
          </w:pPr>
          <w:r>
            <w:rPr>
              <w:lang w:bidi="ar-SA"/>
            </w:rPr>
            <w:t>denied.</w:t>
          </w:r>
        </w:p>
        <w:p w14:paraId="5B7FBE2E" w14:textId="0C6478A2" w:rsidR="00683F97" w:rsidRDefault="00683F97" w:rsidP="00D82DEC">
          <w:pPr>
            <w:rPr>
              <w:lang w:bidi="ar-SA"/>
            </w:rPr>
          </w:pPr>
          <w:r>
            <w:rPr>
              <w:lang w:bidi="ar-SA"/>
            </w:rPr>
            <w:lastRenderedPageBreak/>
            <w:t>Reviewers receive guidance to aid in gauging which option to choose. The application itself is limited to allowable uses in identified priorities.</w:t>
          </w:r>
        </w:p>
        <w:p w14:paraId="4EAFE046" w14:textId="417F2A46" w:rsidR="00683F97" w:rsidRDefault="00683F97" w:rsidP="00683F97">
          <w:pPr>
            <w:rPr>
              <w:lang w:bidi="ar-SA"/>
            </w:rPr>
          </w:pPr>
          <w:r>
            <w:rPr>
              <w:lang w:bidi="ar-SA"/>
            </w:rPr>
            <w:t>After approval, expenditures by all subrecipients will be subject to automated monitoring at least once every two weeks. Unexpected or unusual expenditures—those that may violate one or more of the identified criteria—will be flagged for manual review.</w:t>
          </w:r>
        </w:p>
        <w:p w14:paraId="7F0C8040" w14:textId="062E25EA" w:rsidR="007520AC" w:rsidRDefault="00683F97" w:rsidP="00073127">
          <w:pPr>
            <w:rPr>
              <w:lang w:bidi="ar-SA"/>
            </w:rPr>
          </w:pPr>
          <w:r>
            <w:rPr>
              <w:lang w:bidi="ar-SA"/>
            </w:rPr>
            <w:t>Throughout the life cycle of the grant, subrecipients will be selected for desk review using both programmatic and fiscal criteria. The selection will be informed by the flagging processes during application as well as automated expenditure monitoring. Those subrecipients fla</w:t>
          </w:r>
          <w:r w:rsidR="007520AC">
            <w:rPr>
              <w:lang w:bidi="ar-SA"/>
            </w:rPr>
            <w:t xml:space="preserve">gged at either point will be reviewed at a higher rate </w:t>
          </w:r>
          <w:r>
            <w:rPr>
              <w:lang w:bidi="ar-SA"/>
            </w:rPr>
            <w:t>than unflagged districts, and subrecipients flag</w:t>
          </w:r>
          <w:r w:rsidR="007520AC">
            <w:rPr>
              <w:lang w:bidi="ar-SA"/>
            </w:rPr>
            <w:t xml:space="preserve">ged at both points will be reviewed at a higher rate </w:t>
          </w:r>
          <w:r>
            <w:rPr>
              <w:lang w:bidi="ar-SA"/>
            </w:rPr>
            <w:t xml:space="preserve">than those flagged at only one point. Desk reviews will be conducted at least quarterly during the first year of implementation. The schedule </w:t>
          </w:r>
          <w:r w:rsidR="00D82DEC">
            <w:rPr>
              <w:lang w:bidi="ar-SA"/>
            </w:rPr>
            <w:t>of</w:t>
          </w:r>
          <w:r>
            <w:rPr>
              <w:lang w:bidi="ar-SA"/>
            </w:rPr>
            <w:t xml:space="preserve"> review may be adjusted for future years depending on what is learned during the first year, as well as the percentage of funds remaining. (For example, if 80% of funds are spent during the first year, the rate of monitoring during subsequent years may be reduced.)</w:t>
          </w:r>
          <w:r w:rsidR="007520AC">
            <w:rPr>
              <w:lang w:bidi="ar-SA"/>
            </w:rPr>
            <w:t xml:space="preserve"> </w:t>
          </w:r>
        </w:p>
        <w:p w14:paraId="3FF31297" w14:textId="25FC4FC3" w:rsidR="00547E68" w:rsidRPr="00073127" w:rsidRDefault="00683F97" w:rsidP="00073127">
          <w:pPr>
            <w:rPr>
              <w:lang w:bidi="ar-SA"/>
            </w:rPr>
          </w:pPr>
          <w:r>
            <w:rPr>
              <w:lang w:bidi="ar-SA"/>
            </w:rPr>
            <w:t xml:space="preserve">The program specialist responsible for monitoring these funds will </w:t>
          </w:r>
          <w:r w:rsidR="00D82DEC">
            <w:rPr>
              <w:lang w:bidi="ar-SA"/>
            </w:rPr>
            <w:t xml:space="preserve">collaborate </w:t>
          </w:r>
          <w:r>
            <w:rPr>
              <w:lang w:bidi="ar-SA"/>
            </w:rPr>
            <w:t>with monitors for other state and federal programs. When monitoring of another program indicates a higher risk for this program, the subrecipient’s priority level may be elevated.</w:t>
          </w:r>
        </w:p>
      </w:sdtContent>
    </w:sdt>
    <w:sectPr w:rsidR="00547E68" w:rsidRPr="00073127" w:rsidSect="00B437C8">
      <w:footerReference w:type="first" r:id="rId12"/>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646EC" w14:textId="77777777" w:rsidR="00EF0D17" w:rsidRDefault="00EF0D17" w:rsidP="00D91FF4">
      <w:r>
        <w:separator/>
      </w:r>
    </w:p>
  </w:endnote>
  <w:endnote w:type="continuationSeparator" w:id="0">
    <w:p w14:paraId="081D5A2C" w14:textId="77777777" w:rsidR="00EF0D17" w:rsidRDefault="00EF0D17"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F745E"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548FB" w14:textId="77777777" w:rsidR="00EF0D17" w:rsidRDefault="00EF0D17" w:rsidP="00D91FF4">
      <w:r>
        <w:separator/>
      </w:r>
    </w:p>
  </w:footnote>
  <w:footnote w:type="continuationSeparator" w:id="0">
    <w:p w14:paraId="7953BC33" w14:textId="77777777" w:rsidR="00EF0D17" w:rsidRDefault="00EF0D17"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8pt;height:25.6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9F01BF"/>
    <w:multiLevelType w:val="hybridMultilevel"/>
    <w:tmpl w:val="6228F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E464DB"/>
    <w:multiLevelType w:val="hybridMultilevel"/>
    <w:tmpl w:val="027C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9"/>
  </w:num>
  <w:num w:numId="4">
    <w:abstractNumId w:val="26"/>
  </w:num>
  <w:num w:numId="5">
    <w:abstractNumId w:val="24"/>
  </w:num>
  <w:num w:numId="6">
    <w:abstractNumId w:val="10"/>
  </w:num>
  <w:num w:numId="7">
    <w:abstractNumId w:val="21"/>
  </w:num>
  <w:num w:numId="8">
    <w:abstractNumId w:val="14"/>
  </w:num>
  <w:num w:numId="9">
    <w:abstractNumId w:val="17"/>
  </w:num>
  <w:num w:numId="10">
    <w:abstractNumId w:val="8"/>
  </w:num>
  <w:num w:numId="11">
    <w:abstractNumId w:val="8"/>
  </w:num>
  <w:num w:numId="12">
    <w:abstractNumId w:val="30"/>
  </w:num>
  <w:num w:numId="13">
    <w:abstractNumId w:val="31"/>
  </w:num>
  <w:num w:numId="14">
    <w:abstractNumId w:val="23"/>
  </w:num>
  <w:num w:numId="15">
    <w:abstractNumId w:val="8"/>
  </w:num>
  <w:num w:numId="16">
    <w:abstractNumId w:val="31"/>
  </w:num>
  <w:num w:numId="17">
    <w:abstractNumId w:val="23"/>
  </w:num>
  <w:num w:numId="18">
    <w:abstractNumId w:val="16"/>
  </w:num>
  <w:num w:numId="19">
    <w:abstractNumId w:val="11"/>
  </w:num>
  <w:num w:numId="20">
    <w:abstractNumId w:val="1"/>
  </w:num>
  <w:num w:numId="21">
    <w:abstractNumId w:val="0"/>
  </w:num>
  <w:num w:numId="22">
    <w:abstractNumId w:val="15"/>
  </w:num>
  <w:num w:numId="23">
    <w:abstractNumId w:val="25"/>
  </w:num>
  <w:num w:numId="24">
    <w:abstractNumId w:val="27"/>
  </w:num>
  <w:num w:numId="25">
    <w:abstractNumId w:val="27"/>
  </w:num>
  <w:num w:numId="26">
    <w:abstractNumId w:val="28"/>
  </w:num>
  <w:num w:numId="27">
    <w:abstractNumId w:val="19"/>
  </w:num>
  <w:num w:numId="28">
    <w:abstractNumId w:val="13"/>
  </w:num>
  <w:num w:numId="29">
    <w:abstractNumId w:val="22"/>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0"/>
  </w:num>
  <w:num w:numId="37">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1A2"/>
    <w:rsid w:val="000003C4"/>
    <w:rsid w:val="00002DEC"/>
    <w:rsid w:val="000065AC"/>
    <w:rsid w:val="00006A0A"/>
    <w:rsid w:val="00012540"/>
    <w:rsid w:val="000136DE"/>
    <w:rsid w:val="00021F9D"/>
    <w:rsid w:val="00040C79"/>
    <w:rsid w:val="00064B90"/>
    <w:rsid w:val="000722DA"/>
    <w:rsid w:val="00073127"/>
    <w:rsid w:val="0007374A"/>
    <w:rsid w:val="00077A06"/>
    <w:rsid w:val="00080404"/>
    <w:rsid w:val="00084742"/>
    <w:rsid w:val="000B0A75"/>
    <w:rsid w:val="000B2E68"/>
    <w:rsid w:val="000C3708"/>
    <w:rsid w:val="000C3761"/>
    <w:rsid w:val="000C7373"/>
    <w:rsid w:val="000E313B"/>
    <w:rsid w:val="000E3E9D"/>
    <w:rsid w:val="000F4BB1"/>
    <w:rsid w:val="00131943"/>
    <w:rsid w:val="00135082"/>
    <w:rsid w:val="00135DC7"/>
    <w:rsid w:val="00147ED1"/>
    <w:rsid w:val="001500D6"/>
    <w:rsid w:val="00157C41"/>
    <w:rsid w:val="0016050A"/>
    <w:rsid w:val="0016451B"/>
    <w:rsid w:val="001661D9"/>
    <w:rsid w:val="001708EC"/>
    <w:rsid w:val="00181920"/>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57AF5"/>
    <w:rsid w:val="00261247"/>
    <w:rsid w:val="00264652"/>
    <w:rsid w:val="0026674F"/>
    <w:rsid w:val="00280071"/>
    <w:rsid w:val="002807DF"/>
    <w:rsid w:val="00282084"/>
    <w:rsid w:val="00291052"/>
    <w:rsid w:val="002A12EA"/>
    <w:rsid w:val="002B57CC"/>
    <w:rsid w:val="002B5E79"/>
    <w:rsid w:val="002C0859"/>
    <w:rsid w:val="002C4D0D"/>
    <w:rsid w:val="002E7098"/>
    <w:rsid w:val="002F1947"/>
    <w:rsid w:val="00306D94"/>
    <w:rsid w:val="003125DF"/>
    <w:rsid w:val="00330A0B"/>
    <w:rsid w:val="00335736"/>
    <w:rsid w:val="003563D2"/>
    <w:rsid w:val="00376FA5"/>
    <w:rsid w:val="00377673"/>
    <w:rsid w:val="003A1479"/>
    <w:rsid w:val="003A1813"/>
    <w:rsid w:val="003B2B0A"/>
    <w:rsid w:val="003B7D82"/>
    <w:rsid w:val="003C03D3"/>
    <w:rsid w:val="003C44CC"/>
    <w:rsid w:val="003C4644"/>
    <w:rsid w:val="003C5BE3"/>
    <w:rsid w:val="003E34D7"/>
    <w:rsid w:val="003F5F5F"/>
    <w:rsid w:val="00404158"/>
    <w:rsid w:val="00413A7C"/>
    <w:rsid w:val="004141DD"/>
    <w:rsid w:val="00443DC4"/>
    <w:rsid w:val="00452B8A"/>
    <w:rsid w:val="00461804"/>
    <w:rsid w:val="004643F7"/>
    <w:rsid w:val="004661A2"/>
    <w:rsid w:val="00466810"/>
    <w:rsid w:val="0047706A"/>
    <w:rsid w:val="004816B5"/>
    <w:rsid w:val="00483616"/>
    <w:rsid w:val="00483DD2"/>
    <w:rsid w:val="00494E6F"/>
    <w:rsid w:val="004A1B4D"/>
    <w:rsid w:val="004A58DD"/>
    <w:rsid w:val="004A6119"/>
    <w:rsid w:val="004B47DC"/>
    <w:rsid w:val="004B4DDA"/>
    <w:rsid w:val="004C3961"/>
    <w:rsid w:val="004E3DF6"/>
    <w:rsid w:val="004E75B3"/>
    <w:rsid w:val="004F04BA"/>
    <w:rsid w:val="004F0EFF"/>
    <w:rsid w:val="0050093F"/>
    <w:rsid w:val="00514788"/>
    <w:rsid w:val="0054371B"/>
    <w:rsid w:val="00547E68"/>
    <w:rsid w:val="0056615E"/>
    <w:rsid w:val="005666F2"/>
    <w:rsid w:val="0057515F"/>
    <w:rsid w:val="005764FB"/>
    <w:rsid w:val="0058227B"/>
    <w:rsid w:val="005B201B"/>
    <w:rsid w:val="005B2DDF"/>
    <w:rsid w:val="005B4AE7"/>
    <w:rsid w:val="005B53B0"/>
    <w:rsid w:val="005C16D8"/>
    <w:rsid w:val="005D4207"/>
    <w:rsid w:val="005D4525"/>
    <w:rsid w:val="005D45B3"/>
    <w:rsid w:val="005D5716"/>
    <w:rsid w:val="005E3FC1"/>
    <w:rsid w:val="005F6005"/>
    <w:rsid w:val="00601B3F"/>
    <w:rsid w:val="006064AB"/>
    <w:rsid w:val="00621BD2"/>
    <w:rsid w:val="00622BB5"/>
    <w:rsid w:val="00636EC1"/>
    <w:rsid w:val="00652D74"/>
    <w:rsid w:val="00654577"/>
    <w:rsid w:val="00655345"/>
    <w:rsid w:val="0065683E"/>
    <w:rsid w:val="00670ABA"/>
    <w:rsid w:val="00672536"/>
    <w:rsid w:val="00681EDC"/>
    <w:rsid w:val="00683D66"/>
    <w:rsid w:val="00683F97"/>
    <w:rsid w:val="0068649F"/>
    <w:rsid w:val="00687189"/>
    <w:rsid w:val="00697CCC"/>
    <w:rsid w:val="006A46D3"/>
    <w:rsid w:val="006B13B7"/>
    <w:rsid w:val="006B2942"/>
    <w:rsid w:val="006B3994"/>
    <w:rsid w:val="006C0E45"/>
    <w:rsid w:val="006D4829"/>
    <w:rsid w:val="006E18EC"/>
    <w:rsid w:val="006F3B38"/>
    <w:rsid w:val="00703012"/>
    <w:rsid w:val="007137A4"/>
    <w:rsid w:val="00735BE7"/>
    <w:rsid w:val="0074778B"/>
    <w:rsid w:val="007520AC"/>
    <w:rsid w:val="0077225E"/>
    <w:rsid w:val="007857F7"/>
    <w:rsid w:val="00793F48"/>
    <w:rsid w:val="007B35B2"/>
    <w:rsid w:val="007B3AEA"/>
    <w:rsid w:val="007D1FFF"/>
    <w:rsid w:val="007D42A0"/>
    <w:rsid w:val="007E685C"/>
    <w:rsid w:val="007F6108"/>
    <w:rsid w:val="007F7097"/>
    <w:rsid w:val="00802A0E"/>
    <w:rsid w:val="00806678"/>
    <w:rsid w:val="008067A6"/>
    <w:rsid w:val="008140CC"/>
    <w:rsid w:val="008251B3"/>
    <w:rsid w:val="00836A0F"/>
    <w:rsid w:val="00844F1D"/>
    <w:rsid w:val="00846F64"/>
    <w:rsid w:val="0084731A"/>
    <w:rsid w:val="0084749F"/>
    <w:rsid w:val="00864202"/>
    <w:rsid w:val="008A76FD"/>
    <w:rsid w:val="008B5443"/>
    <w:rsid w:val="008B7A1E"/>
    <w:rsid w:val="008C7EEB"/>
    <w:rsid w:val="008D0DEF"/>
    <w:rsid w:val="008D2256"/>
    <w:rsid w:val="008D5E3D"/>
    <w:rsid w:val="008E09D4"/>
    <w:rsid w:val="008E374B"/>
    <w:rsid w:val="008E3EE8"/>
    <w:rsid w:val="008F7133"/>
    <w:rsid w:val="00905BC6"/>
    <w:rsid w:val="0090737A"/>
    <w:rsid w:val="0094786F"/>
    <w:rsid w:val="0096108C"/>
    <w:rsid w:val="00963BA0"/>
    <w:rsid w:val="00966D45"/>
    <w:rsid w:val="00967764"/>
    <w:rsid w:val="009758B2"/>
    <w:rsid w:val="009810EE"/>
    <w:rsid w:val="009837DB"/>
    <w:rsid w:val="00984CC9"/>
    <w:rsid w:val="00990E51"/>
    <w:rsid w:val="00991ED5"/>
    <w:rsid w:val="0099233F"/>
    <w:rsid w:val="009B54A0"/>
    <w:rsid w:val="009C6405"/>
    <w:rsid w:val="009F6B2C"/>
    <w:rsid w:val="009F6D79"/>
    <w:rsid w:val="00A30799"/>
    <w:rsid w:val="00A3771F"/>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6264"/>
    <w:rsid w:val="00B07C8F"/>
    <w:rsid w:val="00B275D4"/>
    <w:rsid w:val="00B437C8"/>
    <w:rsid w:val="00B61640"/>
    <w:rsid w:val="00B75051"/>
    <w:rsid w:val="00B77CC5"/>
    <w:rsid w:val="00B859DE"/>
    <w:rsid w:val="00BC588A"/>
    <w:rsid w:val="00BD0E59"/>
    <w:rsid w:val="00BE0288"/>
    <w:rsid w:val="00BE3444"/>
    <w:rsid w:val="00C05A8E"/>
    <w:rsid w:val="00C12441"/>
    <w:rsid w:val="00C12D2F"/>
    <w:rsid w:val="00C277A8"/>
    <w:rsid w:val="00C309AE"/>
    <w:rsid w:val="00C365CE"/>
    <w:rsid w:val="00C417EB"/>
    <w:rsid w:val="00C46D71"/>
    <w:rsid w:val="00C528AE"/>
    <w:rsid w:val="00C87547"/>
    <w:rsid w:val="00C90830"/>
    <w:rsid w:val="00CA5D23"/>
    <w:rsid w:val="00CE0FEE"/>
    <w:rsid w:val="00CE45B0"/>
    <w:rsid w:val="00CF1393"/>
    <w:rsid w:val="00CF4F3A"/>
    <w:rsid w:val="00D0014D"/>
    <w:rsid w:val="00D059F7"/>
    <w:rsid w:val="00D22819"/>
    <w:rsid w:val="00D33929"/>
    <w:rsid w:val="00D42222"/>
    <w:rsid w:val="00D511F0"/>
    <w:rsid w:val="00D54EE5"/>
    <w:rsid w:val="00D63F82"/>
    <w:rsid w:val="00D640FC"/>
    <w:rsid w:val="00D70F7D"/>
    <w:rsid w:val="00D761F7"/>
    <w:rsid w:val="00D82DEC"/>
    <w:rsid w:val="00D91C97"/>
    <w:rsid w:val="00D91FF4"/>
    <w:rsid w:val="00D92929"/>
    <w:rsid w:val="00D93C2E"/>
    <w:rsid w:val="00D970A5"/>
    <w:rsid w:val="00DB4967"/>
    <w:rsid w:val="00DC1A1C"/>
    <w:rsid w:val="00DC22CF"/>
    <w:rsid w:val="00DE4DAA"/>
    <w:rsid w:val="00DE50CB"/>
    <w:rsid w:val="00E021C4"/>
    <w:rsid w:val="00E07A43"/>
    <w:rsid w:val="00E17D8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84A01"/>
    <w:rsid w:val="00EA535B"/>
    <w:rsid w:val="00EC579D"/>
    <w:rsid w:val="00ED5BDC"/>
    <w:rsid w:val="00ED7DAC"/>
    <w:rsid w:val="00EF0D17"/>
    <w:rsid w:val="00F067A6"/>
    <w:rsid w:val="00F20B25"/>
    <w:rsid w:val="00F212F3"/>
    <w:rsid w:val="00F278C3"/>
    <w:rsid w:val="00F32F16"/>
    <w:rsid w:val="00F3338D"/>
    <w:rsid w:val="00F70C03"/>
    <w:rsid w:val="00F86D74"/>
    <w:rsid w:val="00F9084A"/>
    <w:rsid w:val="00FB6E40"/>
    <w:rsid w:val="00FD1CCB"/>
    <w:rsid w:val="00FD5BF8"/>
    <w:rsid w:val="00FF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76A40"/>
  <w15:chartTrackingRefBased/>
  <w15:docId w15:val="{CA218FA9-098B-482C-A804-2E9DBDD3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character" w:styleId="CommentReference">
    <w:name w:val="annotation reference"/>
    <w:basedOn w:val="DefaultParagraphFont"/>
    <w:semiHidden/>
    <w:unhideWhenUsed/>
    <w:rsid w:val="00FF2EB3"/>
    <w:rPr>
      <w:sz w:val="16"/>
      <w:szCs w:val="16"/>
    </w:rPr>
  </w:style>
  <w:style w:type="paragraph" w:styleId="CommentText">
    <w:name w:val="annotation text"/>
    <w:basedOn w:val="Normal"/>
    <w:link w:val="CommentTextChar"/>
    <w:semiHidden/>
    <w:unhideWhenUsed/>
    <w:rsid w:val="00FF2EB3"/>
    <w:pPr>
      <w:spacing w:line="240" w:lineRule="auto"/>
    </w:pPr>
    <w:rPr>
      <w:sz w:val="20"/>
      <w:szCs w:val="20"/>
    </w:rPr>
  </w:style>
  <w:style w:type="character" w:customStyle="1" w:styleId="CommentTextChar">
    <w:name w:val="Comment Text Char"/>
    <w:basedOn w:val="DefaultParagraphFont"/>
    <w:link w:val="CommentText"/>
    <w:semiHidden/>
    <w:rsid w:val="00FF2EB3"/>
    <w:rPr>
      <w:sz w:val="20"/>
      <w:szCs w:val="20"/>
    </w:rPr>
  </w:style>
  <w:style w:type="paragraph" w:styleId="CommentSubject">
    <w:name w:val="annotation subject"/>
    <w:basedOn w:val="CommentText"/>
    <w:next w:val="CommentText"/>
    <w:link w:val="CommentSubjectChar"/>
    <w:semiHidden/>
    <w:unhideWhenUsed/>
    <w:rsid w:val="00FF2EB3"/>
    <w:rPr>
      <w:b/>
      <w:bCs/>
    </w:rPr>
  </w:style>
  <w:style w:type="character" w:customStyle="1" w:styleId="CommentSubjectChar">
    <w:name w:val="Comment Subject Char"/>
    <w:basedOn w:val="CommentTextChar"/>
    <w:link w:val="CommentSubject"/>
    <w:semiHidden/>
    <w:rsid w:val="00FF2EB3"/>
    <w:rPr>
      <w:b/>
      <w:bCs/>
      <w:sz w:val="20"/>
      <w:szCs w:val="20"/>
    </w:rPr>
  </w:style>
  <w:style w:type="paragraph" w:styleId="BalloonText">
    <w:name w:val="Balloon Text"/>
    <w:basedOn w:val="Normal"/>
    <w:link w:val="BalloonTextChar"/>
    <w:semiHidden/>
    <w:unhideWhenUsed/>
    <w:rsid w:val="00FF2EB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F2E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472411424">
      <w:bodyDiv w:val="1"/>
      <w:marLeft w:val="0"/>
      <w:marRight w:val="0"/>
      <w:marTop w:val="0"/>
      <w:marBottom w:val="0"/>
      <w:divBdr>
        <w:top w:val="none" w:sz="0" w:space="0" w:color="auto"/>
        <w:left w:val="none" w:sz="0" w:space="0" w:color="auto"/>
        <w:bottom w:val="none" w:sz="0" w:space="0" w:color="auto"/>
        <w:right w:val="none" w:sz="0" w:space="0" w:color="auto"/>
      </w:divBdr>
    </w:div>
    <w:div w:id="50339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SharedWithUsers xmlns="6b2782b6-bc7e-46b4-a043-63eeaac9e02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3" ma:contentTypeDescription="Create a new document." ma:contentTypeScope="" ma:versionID="fcaf0a3b419fc65950108c40a8440a0b">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f74918df71056cbccb6bc50b5ee71442"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266CA7E5-899F-487C-95F0-18E2C54BE0C2}"/>
</file>

<file path=customXml/itemProps4.xml><?xml version="1.0" encoding="utf-8"?>
<ds:datastoreItem xmlns:ds="http://schemas.openxmlformats.org/officeDocument/2006/customXml" ds:itemID="{59027054-96AB-4E93-980A-55015CFC9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Diedrich, Michael (MDE)</dc:creator>
  <cp:keywords/>
  <dc:description/>
  <cp:lastModifiedBy>Waeffler, Alicia (MDE)</cp:lastModifiedBy>
  <cp:revision>17</cp:revision>
  <dcterms:created xsi:type="dcterms:W3CDTF">2020-07-16T19:50:00Z</dcterms:created>
  <dcterms:modified xsi:type="dcterms:W3CDTF">2020-07-17T21:57:00Z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y fmtid="{D5CDD505-2E9C-101B-9397-08002B2CF9AE}" pid="3" name="Order">
    <vt:r8>106591800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