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97E0" w14:textId="0A4356AC" w:rsidR="00993129" w:rsidRDefault="002D2274" w:rsidP="002D2274">
      <w:pPr>
        <w:pStyle w:val="Title"/>
      </w:pPr>
      <w:bookmarkStart w:id="0" w:name="_GoBack"/>
      <w:bookmarkEnd w:id="0"/>
      <w:r w:rsidRPr="002D2274">
        <w:t>FY 20</w:t>
      </w:r>
      <w:r w:rsidR="00C92BE4">
        <w:t>20</w:t>
      </w:r>
      <w:r w:rsidRPr="002D2274">
        <w:t xml:space="preserve"> Teacher Quality Partnership (TQP) Competition Frequently Asked Questions</w:t>
      </w:r>
      <w:r>
        <w:rPr>
          <w:rStyle w:val="FootnoteReference"/>
        </w:rPr>
        <w:footnoteReference w:id="2"/>
      </w:r>
    </w:p>
    <w:p w14:paraId="7D38692A" w14:textId="63BBAFA5" w:rsidR="006C3EAF" w:rsidRDefault="006C3EAF" w:rsidP="002A24EC">
      <w:r>
        <w:t xml:space="preserve">Applicants are reminded that the </w:t>
      </w:r>
      <w:hyperlink r:id="rId11" w:history="1">
        <w:r w:rsidRPr="00D579F0">
          <w:rPr>
            <w:rStyle w:val="Hyperlink"/>
          </w:rPr>
          <w:t>FY 20 TQP Notice Inviting Applications</w:t>
        </w:r>
      </w:hyperlink>
      <w:r>
        <w:t xml:space="preserve"> </w:t>
      </w:r>
      <w:r w:rsidR="00D579F0">
        <w:t xml:space="preserve">(NIA) </w:t>
      </w:r>
      <w:r>
        <w:t xml:space="preserve">published in the </w:t>
      </w:r>
      <w:r w:rsidRPr="00E65C87">
        <w:rPr>
          <w:i/>
          <w:iCs/>
        </w:rPr>
        <w:t>Federal Register</w:t>
      </w:r>
      <w:r w:rsidR="002A24EC">
        <w:t xml:space="preserve"> on</w:t>
      </w:r>
      <w:r w:rsidR="000B104F">
        <w:t xml:space="preserve"> </w:t>
      </w:r>
      <w:r w:rsidR="00D579F0">
        <w:t>May 18, 2020</w:t>
      </w:r>
      <w:r w:rsidR="002A24EC">
        <w:t xml:space="preserve"> </w:t>
      </w:r>
      <w:r w:rsidR="009D4750">
        <w:t xml:space="preserve">is the </w:t>
      </w:r>
      <w:r>
        <w:t xml:space="preserve"> for the funding opportunity.</w:t>
      </w:r>
      <w:r w:rsidR="009D4750">
        <w:t xml:space="preserve"> </w:t>
      </w:r>
      <w:r>
        <w:t xml:space="preserve">Applicants are strongly encouraged to review the NIA in its entirety as it </w:t>
      </w:r>
      <w:r w:rsidR="00455344">
        <w:t xml:space="preserve">may </w:t>
      </w:r>
      <w:r>
        <w:t>answer questions that may not be found in this FAQ document.</w:t>
      </w:r>
    </w:p>
    <w:sdt>
      <w:sdtPr>
        <w:rPr>
          <w:rFonts w:asciiTheme="minorHAnsi" w:eastAsiaTheme="minorHAnsi" w:hAnsiTheme="minorHAnsi" w:cstheme="minorBidi"/>
          <w:b w:val="0"/>
          <w:bCs w:val="0"/>
          <w:color w:val="auto"/>
          <w:sz w:val="22"/>
          <w:szCs w:val="22"/>
          <w:lang w:eastAsia="en-US"/>
        </w:rPr>
        <w:id w:val="-1774772167"/>
        <w:docPartObj>
          <w:docPartGallery w:val="Table of Contents"/>
          <w:docPartUnique/>
        </w:docPartObj>
      </w:sdtPr>
      <w:sdtEndPr>
        <w:rPr>
          <w:b/>
          <w:noProof/>
          <w:sz w:val="28"/>
        </w:rPr>
      </w:sdtEndPr>
      <w:sdtContent>
        <w:p w14:paraId="69EAC7C2" w14:textId="14B6FD32" w:rsidR="00524A13" w:rsidRDefault="00524A13">
          <w:pPr>
            <w:pStyle w:val="TOCHeading"/>
          </w:pPr>
          <w:r>
            <w:t>Contents</w:t>
          </w:r>
        </w:p>
        <w:p w14:paraId="6521059A" w14:textId="6106FEF9" w:rsidR="008C6018" w:rsidRDefault="00524A13">
          <w:pPr>
            <w:pStyle w:val="TOC1"/>
            <w:rPr>
              <w:rFonts w:eastAsiaTheme="minorEastAsia"/>
              <w:b w:val="0"/>
              <w:bCs w:val="0"/>
            </w:rPr>
          </w:pPr>
          <w:r>
            <w:fldChar w:fldCharType="begin"/>
          </w:r>
          <w:r>
            <w:instrText xml:space="preserve"> TOC \o "1-3" \h \z \u </w:instrText>
          </w:r>
          <w:r>
            <w:fldChar w:fldCharType="separate"/>
          </w:r>
          <w:hyperlink w:anchor="_Toc41670012" w:history="1">
            <w:r w:rsidR="008C6018" w:rsidRPr="001001BD">
              <w:rPr>
                <w:rStyle w:val="Hyperlink"/>
              </w:rPr>
              <w:t>Eligibility Questions</w:t>
            </w:r>
            <w:r w:rsidR="008C6018">
              <w:rPr>
                <w:webHidden/>
              </w:rPr>
              <w:tab/>
            </w:r>
            <w:r w:rsidR="008C6018">
              <w:rPr>
                <w:webHidden/>
              </w:rPr>
              <w:fldChar w:fldCharType="begin"/>
            </w:r>
            <w:r w:rsidR="008C6018">
              <w:rPr>
                <w:webHidden/>
              </w:rPr>
              <w:instrText xml:space="preserve"> PAGEREF _Toc41670012 \h </w:instrText>
            </w:r>
            <w:r w:rsidR="008C6018">
              <w:rPr>
                <w:webHidden/>
              </w:rPr>
            </w:r>
            <w:r w:rsidR="008C6018">
              <w:rPr>
                <w:webHidden/>
              </w:rPr>
              <w:fldChar w:fldCharType="separate"/>
            </w:r>
            <w:r w:rsidR="008C6018">
              <w:rPr>
                <w:webHidden/>
              </w:rPr>
              <w:t>3</w:t>
            </w:r>
            <w:r w:rsidR="008C6018">
              <w:rPr>
                <w:webHidden/>
              </w:rPr>
              <w:fldChar w:fldCharType="end"/>
            </w:r>
          </w:hyperlink>
        </w:p>
        <w:p w14:paraId="3EE0D2CA" w14:textId="5A060724" w:rsidR="008C6018" w:rsidRDefault="00AF5CF6">
          <w:pPr>
            <w:pStyle w:val="TOC2"/>
            <w:rPr>
              <w:rFonts w:eastAsiaTheme="minorEastAsia"/>
              <w:noProof/>
            </w:rPr>
          </w:pPr>
          <w:hyperlink w:anchor="_Toc41670013" w:history="1">
            <w:r w:rsidR="008C6018" w:rsidRPr="001001BD">
              <w:rPr>
                <w:rStyle w:val="Hyperlink"/>
                <w:noProof/>
              </w:rPr>
              <w:t>1.</w:t>
            </w:r>
            <w:r w:rsidR="008C6018">
              <w:rPr>
                <w:rFonts w:eastAsiaTheme="minorEastAsia"/>
                <w:noProof/>
              </w:rPr>
              <w:tab/>
            </w:r>
            <w:r w:rsidR="008C6018" w:rsidRPr="001001BD">
              <w:rPr>
                <w:rStyle w:val="Hyperlink"/>
                <w:noProof/>
              </w:rPr>
              <w:t>May an eligible partnership apply under the Absolute Priority to expand or enhance an existing teaching residency program that an Institution of Higher Education (IHE) partner (partner institution) is already implementing?</w:t>
            </w:r>
            <w:r w:rsidR="008C6018">
              <w:rPr>
                <w:noProof/>
                <w:webHidden/>
              </w:rPr>
              <w:tab/>
            </w:r>
            <w:r w:rsidR="008C6018">
              <w:rPr>
                <w:noProof/>
                <w:webHidden/>
              </w:rPr>
              <w:fldChar w:fldCharType="begin"/>
            </w:r>
            <w:r w:rsidR="008C6018">
              <w:rPr>
                <w:noProof/>
                <w:webHidden/>
              </w:rPr>
              <w:instrText xml:space="preserve"> PAGEREF _Toc41670013 \h </w:instrText>
            </w:r>
            <w:r w:rsidR="008C6018">
              <w:rPr>
                <w:noProof/>
                <w:webHidden/>
              </w:rPr>
            </w:r>
            <w:r w:rsidR="008C6018">
              <w:rPr>
                <w:noProof/>
                <w:webHidden/>
              </w:rPr>
              <w:fldChar w:fldCharType="separate"/>
            </w:r>
            <w:r w:rsidR="008C6018">
              <w:rPr>
                <w:noProof/>
                <w:webHidden/>
              </w:rPr>
              <w:t>3</w:t>
            </w:r>
            <w:r w:rsidR="008C6018">
              <w:rPr>
                <w:noProof/>
                <w:webHidden/>
              </w:rPr>
              <w:fldChar w:fldCharType="end"/>
            </w:r>
          </w:hyperlink>
        </w:p>
        <w:p w14:paraId="52037429" w14:textId="57E1CC4C" w:rsidR="008C6018" w:rsidRDefault="00AF5CF6">
          <w:pPr>
            <w:pStyle w:val="TOC2"/>
            <w:rPr>
              <w:rFonts w:eastAsiaTheme="minorEastAsia"/>
              <w:noProof/>
            </w:rPr>
          </w:pPr>
          <w:hyperlink w:anchor="_Toc41670014" w:history="1">
            <w:r w:rsidR="008C6018" w:rsidRPr="001001BD">
              <w:rPr>
                <w:rStyle w:val="Hyperlink"/>
                <w:noProof/>
              </w:rPr>
              <w:t>2.</w:t>
            </w:r>
            <w:r w:rsidR="008C6018">
              <w:rPr>
                <w:rFonts w:eastAsiaTheme="minorEastAsia"/>
                <w:noProof/>
              </w:rPr>
              <w:tab/>
            </w:r>
            <w:r w:rsidR="008C6018" w:rsidRPr="001001BD">
              <w:rPr>
                <w:rStyle w:val="Hyperlink"/>
                <w:noProof/>
              </w:rPr>
              <w:t>How might an IHE partner document that it has a school or department of arts and sciences within such partner institution?</w:t>
            </w:r>
            <w:r w:rsidR="008C6018">
              <w:rPr>
                <w:noProof/>
                <w:webHidden/>
              </w:rPr>
              <w:tab/>
            </w:r>
            <w:r w:rsidR="008C6018">
              <w:rPr>
                <w:noProof/>
                <w:webHidden/>
              </w:rPr>
              <w:fldChar w:fldCharType="begin"/>
            </w:r>
            <w:r w:rsidR="008C6018">
              <w:rPr>
                <w:noProof/>
                <w:webHidden/>
              </w:rPr>
              <w:instrText xml:space="preserve"> PAGEREF _Toc41670014 \h </w:instrText>
            </w:r>
            <w:r w:rsidR="008C6018">
              <w:rPr>
                <w:noProof/>
                <w:webHidden/>
              </w:rPr>
            </w:r>
            <w:r w:rsidR="008C6018">
              <w:rPr>
                <w:noProof/>
                <w:webHidden/>
              </w:rPr>
              <w:fldChar w:fldCharType="separate"/>
            </w:r>
            <w:r w:rsidR="008C6018">
              <w:rPr>
                <w:noProof/>
                <w:webHidden/>
              </w:rPr>
              <w:t>3</w:t>
            </w:r>
            <w:r w:rsidR="008C6018">
              <w:rPr>
                <w:noProof/>
                <w:webHidden/>
              </w:rPr>
              <w:fldChar w:fldCharType="end"/>
            </w:r>
          </w:hyperlink>
        </w:p>
        <w:p w14:paraId="698C2E7F" w14:textId="0BC1A68E" w:rsidR="008C6018" w:rsidRDefault="00AF5CF6">
          <w:pPr>
            <w:pStyle w:val="TOC2"/>
            <w:rPr>
              <w:rFonts w:eastAsiaTheme="minorEastAsia"/>
              <w:noProof/>
            </w:rPr>
          </w:pPr>
          <w:hyperlink w:anchor="_Toc41670015" w:history="1">
            <w:r w:rsidR="008C6018" w:rsidRPr="001001BD">
              <w:rPr>
                <w:rStyle w:val="Hyperlink"/>
                <w:noProof/>
              </w:rPr>
              <w:t>3.</w:t>
            </w:r>
            <w:r w:rsidR="008C6018">
              <w:rPr>
                <w:rFonts w:eastAsiaTheme="minorEastAsia"/>
                <w:noProof/>
              </w:rPr>
              <w:tab/>
            </w:r>
            <w:r w:rsidR="008C6018" w:rsidRPr="001001BD">
              <w:rPr>
                <w:rStyle w:val="Hyperlink"/>
                <w:noProof/>
              </w:rPr>
              <w:t>May two-year IHEs be considered partner institutions?</w:t>
            </w:r>
            <w:r w:rsidR="008C6018">
              <w:rPr>
                <w:noProof/>
                <w:webHidden/>
              </w:rPr>
              <w:tab/>
            </w:r>
            <w:r w:rsidR="008C6018">
              <w:rPr>
                <w:noProof/>
                <w:webHidden/>
              </w:rPr>
              <w:fldChar w:fldCharType="begin"/>
            </w:r>
            <w:r w:rsidR="008C6018">
              <w:rPr>
                <w:noProof/>
                <w:webHidden/>
              </w:rPr>
              <w:instrText xml:space="preserve"> PAGEREF _Toc41670015 \h </w:instrText>
            </w:r>
            <w:r w:rsidR="008C6018">
              <w:rPr>
                <w:noProof/>
                <w:webHidden/>
              </w:rPr>
            </w:r>
            <w:r w:rsidR="008C6018">
              <w:rPr>
                <w:noProof/>
                <w:webHidden/>
              </w:rPr>
              <w:fldChar w:fldCharType="separate"/>
            </w:r>
            <w:r w:rsidR="008C6018">
              <w:rPr>
                <w:noProof/>
                <w:webHidden/>
              </w:rPr>
              <w:t>3</w:t>
            </w:r>
            <w:r w:rsidR="008C6018">
              <w:rPr>
                <w:noProof/>
                <w:webHidden/>
              </w:rPr>
              <w:fldChar w:fldCharType="end"/>
            </w:r>
          </w:hyperlink>
        </w:p>
        <w:p w14:paraId="41E0A3AA" w14:textId="26F1C2BB" w:rsidR="008C6018" w:rsidRDefault="00AF5CF6">
          <w:pPr>
            <w:pStyle w:val="TOC2"/>
            <w:rPr>
              <w:rFonts w:eastAsiaTheme="minorEastAsia"/>
              <w:noProof/>
            </w:rPr>
          </w:pPr>
          <w:hyperlink w:anchor="_Toc41670016" w:history="1">
            <w:r w:rsidR="008C6018" w:rsidRPr="001001BD">
              <w:rPr>
                <w:rStyle w:val="Hyperlink"/>
                <w:noProof/>
              </w:rPr>
              <w:t>4.</w:t>
            </w:r>
            <w:r w:rsidR="008C6018">
              <w:rPr>
                <w:rFonts w:eastAsiaTheme="minorEastAsia"/>
                <w:noProof/>
              </w:rPr>
              <w:tab/>
            </w:r>
            <w:r w:rsidR="008C6018" w:rsidRPr="001001BD">
              <w:rPr>
                <w:rStyle w:val="Hyperlink"/>
                <w:noProof/>
              </w:rPr>
              <w:t>How does an eligible applicant determine that its high-need local educational agency (LEA) has at least 20 percent of, or at least 10,000 “children from low-income families”?</w:t>
            </w:r>
            <w:r w:rsidR="008C6018">
              <w:rPr>
                <w:noProof/>
                <w:webHidden/>
              </w:rPr>
              <w:tab/>
            </w:r>
            <w:r w:rsidR="008C6018">
              <w:rPr>
                <w:noProof/>
                <w:webHidden/>
              </w:rPr>
              <w:fldChar w:fldCharType="begin"/>
            </w:r>
            <w:r w:rsidR="008C6018">
              <w:rPr>
                <w:noProof/>
                <w:webHidden/>
              </w:rPr>
              <w:instrText xml:space="preserve"> PAGEREF _Toc41670016 \h </w:instrText>
            </w:r>
            <w:r w:rsidR="008C6018">
              <w:rPr>
                <w:noProof/>
                <w:webHidden/>
              </w:rPr>
            </w:r>
            <w:r w:rsidR="008C6018">
              <w:rPr>
                <w:noProof/>
                <w:webHidden/>
              </w:rPr>
              <w:fldChar w:fldCharType="separate"/>
            </w:r>
            <w:r w:rsidR="008C6018">
              <w:rPr>
                <w:noProof/>
                <w:webHidden/>
              </w:rPr>
              <w:t>3</w:t>
            </w:r>
            <w:r w:rsidR="008C6018">
              <w:rPr>
                <w:noProof/>
                <w:webHidden/>
              </w:rPr>
              <w:fldChar w:fldCharType="end"/>
            </w:r>
          </w:hyperlink>
        </w:p>
        <w:p w14:paraId="61F38F51" w14:textId="2914574B" w:rsidR="008C6018" w:rsidRDefault="00AF5CF6">
          <w:pPr>
            <w:pStyle w:val="TOC2"/>
            <w:rPr>
              <w:rFonts w:eastAsiaTheme="minorEastAsia"/>
              <w:noProof/>
            </w:rPr>
          </w:pPr>
          <w:hyperlink w:anchor="_Toc41670017" w:history="1">
            <w:r w:rsidR="008C6018" w:rsidRPr="001001BD">
              <w:rPr>
                <w:rStyle w:val="Hyperlink"/>
                <w:noProof/>
              </w:rPr>
              <w:t>5.</w:t>
            </w:r>
            <w:r w:rsidR="008C6018">
              <w:rPr>
                <w:rFonts w:eastAsiaTheme="minorEastAsia"/>
                <w:noProof/>
              </w:rPr>
              <w:tab/>
            </w:r>
            <w:r w:rsidR="008C6018" w:rsidRPr="001001BD">
              <w:rPr>
                <w:rStyle w:val="Hyperlink"/>
                <w:noProof/>
              </w:rPr>
              <w:t>Are all schools within the high-need LEA eligible to receive project services?</w:t>
            </w:r>
            <w:r w:rsidR="008C6018">
              <w:rPr>
                <w:noProof/>
                <w:webHidden/>
              </w:rPr>
              <w:tab/>
            </w:r>
            <w:r w:rsidR="008C6018">
              <w:rPr>
                <w:noProof/>
                <w:webHidden/>
              </w:rPr>
              <w:fldChar w:fldCharType="begin"/>
            </w:r>
            <w:r w:rsidR="008C6018">
              <w:rPr>
                <w:noProof/>
                <w:webHidden/>
              </w:rPr>
              <w:instrText xml:space="preserve"> PAGEREF _Toc41670017 \h </w:instrText>
            </w:r>
            <w:r w:rsidR="008C6018">
              <w:rPr>
                <w:noProof/>
                <w:webHidden/>
              </w:rPr>
            </w:r>
            <w:r w:rsidR="008C6018">
              <w:rPr>
                <w:noProof/>
                <w:webHidden/>
              </w:rPr>
              <w:fldChar w:fldCharType="separate"/>
            </w:r>
            <w:r w:rsidR="008C6018">
              <w:rPr>
                <w:noProof/>
                <w:webHidden/>
              </w:rPr>
              <w:t>4</w:t>
            </w:r>
            <w:r w:rsidR="008C6018">
              <w:rPr>
                <w:noProof/>
                <w:webHidden/>
              </w:rPr>
              <w:fldChar w:fldCharType="end"/>
            </w:r>
          </w:hyperlink>
        </w:p>
        <w:p w14:paraId="57CDF91B" w14:textId="13B0D932" w:rsidR="008C6018" w:rsidRDefault="00AF5CF6">
          <w:pPr>
            <w:pStyle w:val="TOC2"/>
            <w:rPr>
              <w:rFonts w:eastAsiaTheme="minorEastAsia"/>
              <w:noProof/>
            </w:rPr>
          </w:pPr>
          <w:hyperlink w:anchor="_Toc41670018" w:history="1">
            <w:r w:rsidR="008C6018" w:rsidRPr="001001BD">
              <w:rPr>
                <w:rStyle w:val="Hyperlink"/>
                <w:noProof/>
              </w:rPr>
              <w:t>6.</w:t>
            </w:r>
            <w:r w:rsidR="008C6018">
              <w:rPr>
                <w:rFonts w:eastAsiaTheme="minorEastAsia"/>
                <w:noProof/>
              </w:rPr>
              <w:tab/>
            </w:r>
            <w:r w:rsidR="008C6018" w:rsidRPr="001001BD">
              <w:rPr>
                <w:rStyle w:val="Hyperlink"/>
                <w:noProof/>
              </w:rPr>
              <w:t>Is there a specific definition for “high percentage” that needs to be used for teachers who are not teaching in the academic subject areas or grade levels in which the teachers were trained to teach, a high teacher turnover rate, or a high percentage of teachers with emergency, provisional, or temporary certification or licensure?</w:t>
            </w:r>
            <w:r w:rsidR="008C6018">
              <w:rPr>
                <w:noProof/>
                <w:webHidden/>
              </w:rPr>
              <w:tab/>
            </w:r>
            <w:r w:rsidR="008C6018">
              <w:rPr>
                <w:noProof/>
                <w:webHidden/>
              </w:rPr>
              <w:fldChar w:fldCharType="begin"/>
            </w:r>
            <w:r w:rsidR="008C6018">
              <w:rPr>
                <w:noProof/>
                <w:webHidden/>
              </w:rPr>
              <w:instrText xml:space="preserve"> PAGEREF _Toc41670018 \h </w:instrText>
            </w:r>
            <w:r w:rsidR="008C6018">
              <w:rPr>
                <w:noProof/>
                <w:webHidden/>
              </w:rPr>
            </w:r>
            <w:r w:rsidR="008C6018">
              <w:rPr>
                <w:noProof/>
                <w:webHidden/>
              </w:rPr>
              <w:fldChar w:fldCharType="separate"/>
            </w:r>
            <w:r w:rsidR="008C6018">
              <w:rPr>
                <w:noProof/>
                <w:webHidden/>
              </w:rPr>
              <w:t>4</w:t>
            </w:r>
            <w:r w:rsidR="008C6018">
              <w:rPr>
                <w:noProof/>
                <w:webHidden/>
              </w:rPr>
              <w:fldChar w:fldCharType="end"/>
            </w:r>
          </w:hyperlink>
        </w:p>
        <w:p w14:paraId="13DA631E" w14:textId="26BA6FF2" w:rsidR="008C6018" w:rsidRDefault="00AF5CF6">
          <w:pPr>
            <w:pStyle w:val="TOC2"/>
            <w:rPr>
              <w:rFonts w:eastAsiaTheme="minorEastAsia"/>
              <w:noProof/>
            </w:rPr>
          </w:pPr>
          <w:hyperlink w:anchor="_Toc41670019" w:history="1">
            <w:r w:rsidR="008C6018" w:rsidRPr="001001BD">
              <w:rPr>
                <w:rStyle w:val="Hyperlink"/>
                <w:noProof/>
              </w:rPr>
              <w:t>7.</w:t>
            </w:r>
            <w:r w:rsidR="008C6018">
              <w:rPr>
                <w:rFonts w:eastAsiaTheme="minorEastAsia"/>
                <w:noProof/>
              </w:rPr>
              <w:tab/>
            </w:r>
            <w:r w:rsidR="008C6018" w:rsidRPr="001001BD">
              <w:rPr>
                <w:rStyle w:val="Hyperlink"/>
                <w:noProof/>
              </w:rPr>
              <w:t>Is a charter school eligible to be a member of an eligible partnership?</w:t>
            </w:r>
            <w:r w:rsidR="008C6018">
              <w:rPr>
                <w:noProof/>
                <w:webHidden/>
              </w:rPr>
              <w:tab/>
            </w:r>
            <w:r w:rsidR="008C6018">
              <w:rPr>
                <w:noProof/>
                <w:webHidden/>
              </w:rPr>
              <w:fldChar w:fldCharType="begin"/>
            </w:r>
            <w:r w:rsidR="008C6018">
              <w:rPr>
                <w:noProof/>
                <w:webHidden/>
              </w:rPr>
              <w:instrText xml:space="preserve"> PAGEREF _Toc41670019 \h </w:instrText>
            </w:r>
            <w:r w:rsidR="008C6018">
              <w:rPr>
                <w:noProof/>
                <w:webHidden/>
              </w:rPr>
            </w:r>
            <w:r w:rsidR="008C6018">
              <w:rPr>
                <w:noProof/>
                <w:webHidden/>
              </w:rPr>
              <w:fldChar w:fldCharType="separate"/>
            </w:r>
            <w:r w:rsidR="008C6018">
              <w:rPr>
                <w:noProof/>
                <w:webHidden/>
              </w:rPr>
              <w:t>4</w:t>
            </w:r>
            <w:r w:rsidR="008C6018">
              <w:rPr>
                <w:noProof/>
                <w:webHidden/>
              </w:rPr>
              <w:fldChar w:fldCharType="end"/>
            </w:r>
          </w:hyperlink>
        </w:p>
        <w:p w14:paraId="3C19355D" w14:textId="33582B67" w:rsidR="008C6018" w:rsidRDefault="00AF5CF6">
          <w:pPr>
            <w:pStyle w:val="TOC2"/>
            <w:rPr>
              <w:rFonts w:eastAsiaTheme="minorEastAsia"/>
              <w:noProof/>
            </w:rPr>
          </w:pPr>
          <w:hyperlink w:anchor="_Toc41670020" w:history="1">
            <w:r w:rsidR="008C6018" w:rsidRPr="001001BD">
              <w:rPr>
                <w:rStyle w:val="Hyperlink"/>
                <w:noProof/>
              </w:rPr>
              <w:t>8.</w:t>
            </w:r>
            <w:r w:rsidR="008C6018">
              <w:rPr>
                <w:rFonts w:eastAsiaTheme="minorEastAsia"/>
                <w:noProof/>
              </w:rPr>
              <w:tab/>
            </w:r>
            <w:r w:rsidR="008C6018" w:rsidRPr="001001BD">
              <w:rPr>
                <w:rStyle w:val="Hyperlink"/>
                <w:noProof/>
              </w:rPr>
              <w:t>May an individual member of an eligible partnership be a partner in more than one application?</w:t>
            </w:r>
            <w:r w:rsidR="008C6018">
              <w:rPr>
                <w:noProof/>
                <w:webHidden/>
              </w:rPr>
              <w:tab/>
            </w:r>
            <w:r w:rsidR="008C6018">
              <w:rPr>
                <w:noProof/>
                <w:webHidden/>
              </w:rPr>
              <w:fldChar w:fldCharType="begin"/>
            </w:r>
            <w:r w:rsidR="008C6018">
              <w:rPr>
                <w:noProof/>
                <w:webHidden/>
              </w:rPr>
              <w:instrText xml:space="preserve"> PAGEREF _Toc41670020 \h </w:instrText>
            </w:r>
            <w:r w:rsidR="008C6018">
              <w:rPr>
                <w:noProof/>
                <w:webHidden/>
              </w:rPr>
            </w:r>
            <w:r w:rsidR="008C6018">
              <w:rPr>
                <w:noProof/>
                <w:webHidden/>
              </w:rPr>
              <w:fldChar w:fldCharType="separate"/>
            </w:r>
            <w:r w:rsidR="008C6018">
              <w:rPr>
                <w:noProof/>
                <w:webHidden/>
              </w:rPr>
              <w:t>4</w:t>
            </w:r>
            <w:r w:rsidR="008C6018">
              <w:rPr>
                <w:noProof/>
                <w:webHidden/>
              </w:rPr>
              <w:fldChar w:fldCharType="end"/>
            </w:r>
          </w:hyperlink>
        </w:p>
        <w:p w14:paraId="2E2104DB" w14:textId="27998A8A" w:rsidR="008C6018" w:rsidRDefault="00AF5CF6">
          <w:pPr>
            <w:pStyle w:val="TOC2"/>
            <w:rPr>
              <w:rFonts w:eastAsiaTheme="minorEastAsia"/>
              <w:noProof/>
            </w:rPr>
          </w:pPr>
          <w:hyperlink w:anchor="_Toc41670021" w:history="1">
            <w:r w:rsidR="008C6018" w:rsidRPr="001001BD">
              <w:rPr>
                <w:rStyle w:val="Hyperlink"/>
                <w:noProof/>
              </w:rPr>
              <w:t>9.</w:t>
            </w:r>
            <w:r w:rsidR="008C6018">
              <w:rPr>
                <w:rFonts w:eastAsiaTheme="minorEastAsia"/>
                <w:noProof/>
              </w:rPr>
              <w:tab/>
            </w:r>
            <w:r w:rsidR="008C6018" w:rsidRPr="001001BD">
              <w:rPr>
                <w:rStyle w:val="Hyperlink"/>
                <w:noProof/>
              </w:rPr>
              <w:t>May FY 2016, FY 2018, or FY 2019 TQP eligible partnership grantees receive a FY 2020 TQP grant?</w:t>
            </w:r>
            <w:r w:rsidR="008C6018">
              <w:rPr>
                <w:noProof/>
                <w:webHidden/>
              </w:rPr>
              <w:tab/>
            </w:r>
            <w:r w:rsidR="008C6018">
              <w:rPr>
                <w:noProof/>
                <w:webHidden/>
              </w:rPr>
              <w:fldChar w:fldCharType="begin"/>
            </w:r>
            <w:r w:rsidR="008C6018">
              <w:rPr>
                <w:noProof/>
                <w:webHidden/>
              </w:rPr>
              <w:instrText xml:space="preserve"> PAGEREF _Toc41670021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43C417C1" w14:textId="227D38C6" w:rsidR="008C6018" w:rsidRDefault="00AF5CF6">
          <w:pPr>
            <w:pStyle w:val="TOC2"/>
            <w:rPr>
              <w:rFonts w:eastAsiaTheme="minorEastAsia"/>
              <w:noProof/>
            </w:rPr>
          </w:pPr>
          <w:hyperlink w:anchor="_Toc41670022" w:history="1">
            <w:r w:rsidR="008C6018" w:rsidRPr="001001BD">
              <w:rPr>
                <w:rStyle w:val="Hyperlink"/>
                <w:noProof/>
              </w:rPr>
              <w:t>10.</w:t>
            </w:r>
            <w:r w:rsidR="008C6018">
              <w:rPr>
                <w:rFonts w:eastAsiaTheme="minorEastAsia"/>
                <w:noProof/>
              </w:rPr>
              <w:tab/>
            </w:r>
            <w:r w:rsidR="008C6018" w:rsidRPr="001001BD">
              <w:rPr>
                <w:rStyle w:val="Hyperlink"/>
                <w:noProof/>
              </w:rPr>
              <w:t>How may a current TQP grantee be eligible to participate in the FY 2020 TQP competition?</w:t>
            </w:r>
            <w:r w:rsidR="008C6018">
              <w:rPr>
                <w:noProof/>
                <w:webHidden/>
              </w:rPr>
              <w:tab/>
            </w:r>
            <w:r w:rsidR="008C6018">
              <w:rPr>
                <w:noProof/>
                <w:webHidden/>
              </w:rPr>
              <w:fldChar w:fldCharType="begin"/>
            </w:r>
            <w:r w:rsidR="008C6018">
              <w:rPr>
                <w:noProof/>
                <w:webHidden/>
              </w:rPr>
              <w:instrText xml:space="preserve"> PAGEREF _Toc41670022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54D02AEB" w14:textId="38CFEB92" w:rsidR="008C6018" w:rsidRDefault="00AF5CF6">
          <w:pPr>
            <w:pStyle w:val="TOC2"/>
            <w:rPr>
              <w:rFonts w:eastAsiaTheme="minorEastAsia"/>
              <w:noProof/>
            </w:rPr>
          </w:pPr>
          <w:hyperlink w:anchor="_Toc41670023" w:history="1">
            <w:r w:rsidR="008C6018" w:rsidRPr="001001BD">
              <w:rPr>
                <w:rStyle w:val="Hyperlink"/>
                <w:noProof/>
              </w:rPr>
              <w:t>11.</w:t>
            </w:r>
            <w:r w:rsidR="008C6018">
              <w:rPr>
                <w:rFonts w:eastAsiaTheme="minorEastAsia"/>
                <w:noProof/>
              </w:rPr>
              <w:tab/>
            </w:r>
            <w:r w:rsidR="008C6018" w:rsidRPr="001001BD">
              <w:rPr>
                <w:rStyle w:val="Hyperlink"/>
                <w:noProof/>
              </w:rPr>
              <w:t>How does an individual member of an existing eligible partnership demonstrate the need for another TQP grant?</w:t>
            </w:r>
            <w:r w:rsidR="008C6018">
              <w:rPr>
                <w:noProof/>
                <w:webHidden/>
              </w:rPr>
              <w:tab/>
            </w:r>
            <w:r w:rsidR="008C6018">
              <w:rPr>
                <w:noProof/>
                <w:webHidden/>
              </w:rPr>
              <w:fldChar w:fldCharType="begin"/>
            </w:r>
            <w:r w:rsidR="008C6018">
              <w:rPr>
                <w:noProof/>
                <w:webHidden/>
              </w:rPr>
              <w:instrText xml:space="preserve"> PAGEREF _Toc41670023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510B511D" w14:textId="1DCF170B" w:rsidR="008C6018" w:rsidRDefault="00AF5CF6">
          <w:pPr>
            <w:pStyle w:val="TOC2"/>
            <w:rPr>
              <w:rFonts w:eastAsiaTheme="minorEastAsia"/>
              <w:noProof/>
            </w:rPr>
          </w:pPr>
          <w:hyperlink w:anchor="_Toc41670024" w:history="1">
            <w:r w:rsidR="008C6018" w:rsidRPr="001001BD">
              <w:rPr>
                <w:rStyle w:val="Hyperlink"/>
                <w:noProof/>
              </w:rPr>
              <w:t>12.</w:t>
            </w:r>
            <w:r w:rsidR="008C6018">
              <w:rPr>
                <w:rFonts w:eastAsiaTheme="minorEastAsia"/>
                <w:noProof/>
              </w:rPr>
              <w:tab/>
            </w:r>
            <w:r w:rsidR="008C6018" w:rsidRPr="001001BD">
              <w:rPr>
                <w:rStyle w:val="Hyperlink"/>
                <w:noProof/>
              </w:rPr>
              <w:t>Who may be the fiscal agent or lead applicant for the grant?</w:t>
            </w:r>
            <w:r w:rsidR="008C6018">
              <w:rPr>
                <w:noProof/>
                <w:webHidden/>
              </w:rPr>
              <w:tab/>
            </w:r>
            <w:r w:rsidR="008C6018">
              <w:rPr>
                <w:noProof/>
                <w:webHidden/>
              </w:rPr>
              <w:fldChar w:fldCharType="begin"/>
            </w:r>
            <w:r w:rsidR="008C6018">
              <w:rPr>
                <w:noProof/>
                <w:webHidden/>
              </w:rPr>
              <w:instrText xml:space="preserve"> PAGEREF _Toc41670024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3A3393E9" w14:textId="36911D21" w:rsidR="008C6018" w:rsidRDefault="00AF5CF6">
          <w:pPr>
            <w:pStyle w:val="TOC1"/>
            <w:rPr>
              <w:rFonts w:eastAsiaTheme="minorEastAsia"/>
              <w:b w:val="0"/>
              <w:bCs w:val="0"/>
            </w:rPr>
          </w:pPr>
          <w:hyperlink w:anchor="_Toc41670025" w:history="1">
            <w:r w:rsidR="008C6018" w:rsidRPr="001001BD">
              <w:rPr>
                <w:rStyle w:val="Hyperlink"/>
              </w:rPr>
              <w:t>Competitive Preference Priorities (CPP) Questions</w:t>
            </w:r>
            <w:r w:rsidR="008C6018">
              <w:rPr>
                <w:webHidden/>
              </w:rPr>
              <w:tab/>
            </w:r>
            <w:r w:rsidR="008C6018">
              <w:rPr>
                <w:webHidden/>
              </w:rPr>
              <w:fldChar w:fldCharType="begin"/>
            </w:r>
            <w:r w:rsidR="008C6018">
              <w:rPr>
                <w:webHidden/>
              </w:rPr>
              <w:instrText xml:space="preserve"> PAGEREF _Toc41670025 \h </w:instrText>
            </w:r>
            <w:r w:rsidR="008C6018">
              <w:rPr>
                <w:webHidden/>
              </w:rPr>
            </w:r>
            <w:r w:rsidR="008C6018">
              <w:rPr>
                <w:webHidden/>
              </w:rPr>
              <w:fldChar w:fldCharType="separate"/>
            </w:r>
            <w:r w:rsidR="008C6018">
              <w:rPr>
                <w:webHidden/>
              </w:rPr>
              <w:t>5</w:t>
            </w:r>
            <w:r w:rsidR="008C6018">
              <w:rPr>
                <w:webHidden/>
              </w:rPr>
              <w:fldChar w:fldCharType="end"/>
            </w:r>
          </w:hyperlink>
        </w:p>
        <w:p w14:paraId="67BE2B55" w14:textId="18CFD003" w:rsidR="008C6018" w:rsidRDefault="00AF5CF6">
          <w:pPr>
            <w:pStyle w:val="TOC2"/>
            <w:rPr>
              <w:rFonts w:eastAsiaTheme="minorEastAsia"/>
              <w:noProof/>
            </w:rPr>
          </w:pPr>
          <w:hyperlink w:anchor="_Toc41670026" w:history="1">
            <w:r w:rsidR="008C6018" w:rsidRPr="001001BD">
              <w:rPr>
                <w:rStyle w:val="Hyperlink"/>
                <w:noProof/>
              </w:rPr>
              <w:t>13.</w:t>
            </w:r>
            <w:r w:rsidR="008C6018">
              <w:rPr>
                <w:rFonts w:eastAsiaTheme="minorEastAsia"/>
                <w:noProof/>
              </w:rPr>
              <w:tab/>
            </w:r>
            <w:r w:rsidR="008C6018" w:rsidRPr="001001BD">
              <w:rPr>
                <w:rStyle w:val="Hyperlink"/>
                <w:noProof/>
              </w:rPr>
              <w:t>Should I address the CPPs in the application narrative, or in some other part of the application?</w:t>
            </w:r>
            <w:r w:rsidR="008C6018">
              <w:rPr>
                <w:noProof/>
                <w:webHidden/>
              </w:rPr>
              <w:tab/>
            </w:r>
            <w:r w:rsidR="008C6018">
              <w:rPr>
                <w:noProof/>
                <w:webHidden/>
              </w:rPr>
              <w:fldChar w:fldCharType="begin"/>
            </w:r>
            <w:r w:rsidR="008C6018">
              <w:rPr>
                <w:noProof/>
                <w:webHidden/>
              </w:rPr>
              <w:instrText xml:space="preserve"> PAGEREF _Toc41670026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059145FB" w14:textId="72B02138" w:rsidR="008C6018" w:rsidRDefault="00AF5CF6">
          <w:pPr>
            <w:pStyle w:val="TOC2"/>
            <w:rPr>
              <w:rFonts w:eastAsiaTheme="minorEastAsia"/>
              <w:noProof/>
            </w:rPr>
          </w:pPr>
          <w:hyperlink w:anchor="_Toc41670027" w:history="1">
            <w:r w:rsidR="008C6018" w:rsidRPr="001001BD">
              <w:rPr>
                <w:rStyle w:val="Hyperlink"/>
                <w:noProof/>
              </w:rPr>
              <w:t>14.</w:t>
            </w:r>
            <w:r w:rsidR="008C6018">
              <w:rPr>
                <w:rFonts w:eastAsiaTheme="minorEastAsia"/>
                <w:noProof/>
              </w:rPr>
              <w:tab/>
            </w:r>
            <w:r w:rsidR="008C6018" w:rsidRPr="001001BD">
              <w:rPr>
                <w:rStyle w:val="Hyperlink"/>
                <w:noProof/>
              </w:rPr>
              <w:t>How could an applicant address Competitive Preference Priority 1, and how are points assigned?</w:t>
            </w:r>
            <w:r w:rsidR="008C6018">
              <w:rPr>
                <w:noProof/>
                <w:webHidden/>
              </w:rPr>
              <w:tab/>
            </w:r>
            <w:r w:rsidR="008C6018">
              <w:rPr>
                <w:noProof/>
                <w:webHidden/>
              </w:rPr>
              <w:fldChar w:fldCharType="begin"/>
            </w:r>
            <w:r w:rsidR="008C6018">
              <w:rPr>
                <w:noProof/>
                <w:webHidden/>
              </w:rPr>
              <w:instrText xml:space="preserve"> PAGEREF _Toc41670027 \h </w:instrText>
            </w:r>
            <w:r w:rsidR="008C6018">
              <w:rPr>
                <w:noProof/>
                <w:webHidden/>
              </w:rPr>
            </w:r>
            <w:r w:rsidR="008C6018">
              <w:rPr>
                <w:noProof/>
                <w:webHidden/>
              </w:rPr>
              <w:fldChar w:fldCharType="separate"/>
            </w:r>
            <w:r w:rsidR="008C6018">
              <w:rPr>
                <w:noProof/>
                <w:webHidden/>
              </w:rPr>
              <w:t>5</w:t>
            </w:r>
            <w:r w:rsidR="008C6018">
              <w:rPr>
                <w:noProof/>
                <w:webHidden/>
              </w:rPr>
              <w:fldChar w:fldCharType="end"/>
            </w:r>
          </w:hyperlink>
        </w:p>
        <w:p w14:paraId="31366974" w14:textId="4842A52B" w:rsidR="008C6018" w:rsidRDefault="00AF5CF6">
          <w:pPr>
            <w:pStyle w:val="TOC2"/>
            <w:rPr>
              <w:rFonts w:eastAsiaTheme="minorEastAsia"/>
              <w:noProof/>
            </w:rPr>
          </w:pPr>
          <w:hyperlink w:anchor="_Toc41670028" w:history="1">
            <w:r w:rsidR="008C6018" w:rsidRPr="001001BD">
              <w:rPr>
                <w:rStyle w:val="Hyperlink"/>
                <w:noProof/>
              </w:rPr>
              <w:t>15.</w:t>
            </w:r>
            <w:r w:rsidR="008C6018">
              <w:rPr>
                <w:rFonts w:eastAsiaTheme="minorEastAsia"/>
                <w:noProof/>
              </w:rPr>
              <w:tab/>
            </w:r>
            <w:r w:rsidR="008C6018" w:rsidRPr="001001BD">
              <w:rPr>
                <w:rStyle w:val="Hyperlink"/>
                <w:noProof/>
              </w:rPr>
              <w:t>For CPP 1, what does “overlapping” mean?</w:t>
            </w:r>
            <w:r w:rsidR="008C6018">
              <w:rPr>
                <w:noProof/>
                <w:webHidden/>
              </w:rPr>
              <w:tab/>
            </w:r>
            <w:r w:rsidR="008C6018">
              <w:rPr>
                <w:noProof/>
                <w:webHidden/>
              </w:rPr>
              <w:fldChar w:fldCharType="begin"/>
            </w:r>
            <w:r w:rsidR="008C6018">
              <w:rPr>
                <w:noProof/>
                <w:webHidden/>
              </w:rPr>
              <w:instrText xml:space="preserve"> PAGEREF _Toc41670028 \h </w:instrText>
            </w:r>
            <w:r w:rsidR="008C6018">
              <w:rPr>
                <w:noProof/>
                <w:webHidden/>
              </w:rPr>
            </w:r>
            <w:r w:rsidR="008C6018">
              <w:rPr>
                <w:noProof/>
                <w:webHidden/>
              </w:rPr>
              <w:fldChar w:fldCharType="separate"/>
            </w:r>
            <w:r w:rsidR="008C6018">
              <w:rPr>
                <w:noProof/>
                <w:webHidden/>
              </w:rPr>
              <w:t>6</w:t>
            </w:r>
            <w:r w:rsidR="008C6018">
              <w:rPr>
                <w:noProof/>
                <w:webHidden/>
              </w:rPr>
              <w:fldChar w:fldCharType="end"/>
            </w:r>
          </w:hyperlink>
        </w:p>
        <w:p w14:paraId="0F78549F" w14:textId="7A96FFE5" w:rsidR="008C6018" w:rsidRDefault="00AF5CF6">
          <w:pPr>
            <w:pStyle w:val="TOC2"/>
            <w:rPr>
              <w:rFonts w:eastAsiaTheme="minorEastAsia"/>
              <w:noProof/>
            </w:rPr>
          </w:pPr>
          <w:hyperlink w:anchor="_Toc41670029" w:history="1">
            <w:r w:rsidR="008C6018" w:rsidRPr="001001BD">
              <w:rPr>
                <w:rStyle w:val="Hyperlink"/>
                <w:noProof/>
              </w:rPr>
              <w:t>16.</w:t>
            </w:r>
            <w:r w:rsidR="008C6018">
              <w:rPr>
                <w:rFonts w:eastAsiaTheme="minorEastAsia"/>
                <w:noProof/>
              </w:rPr>
              <w:tab/>
            </w:r>
            <w:r w:rsidR="008C6018" w:rsidRPr="001001BD">
              <w:rPr>
                <w:rStyle w:val="Hyperlink"/>
                <w:noProof/>
              </w:rPr>
              <w:t>Can more than one QOZ be targeted?</w:t>
            </w:r>
            <w:r w:rsidR="008C6018">
              <w:rPr>
                <w:noProof/>
                <w:webHidden/>
              </w:rPr>
              <w:tab/>
            </w:r>
            <w:r w:rsidR="008C6018">
              <w:rPr>
                <w:noProof/>
                <w:webHidden/>
              </w:rPr>
              <w:fldChar w:fldCharType="begin"/>
            </w:r>
            <w:r w:rsidR="008C6018">
              <w:rPr>
                <w:noProof/>
                <w:webHidden/>
              </w:rPr>
              <w:instrText xml:space="preserve"> PAGEREF _Toc41670029 \h </w:instrText>
            </w:r>
            <w:r w:rsidR="008C6018">
              <w:rPr>
                <w:noProof/>
                <w:webHidden/>
              </w:rPr>
            </w:r>
            <w:r w:rsidR="008C6018">
              <w:rPr>
                <w:noProof/>
                <w:webHidden/>
              </w:rPr>
              <w:fldChar w:fldCharType="separate"/>
            </w:r>
            <w:r w:rsidR="008C6018">
              <w:rPr>
                <w:noProof/>
                <w:webHidden/>
              </w:rPr>
              <w:t>6</w:t>
            </w:r>
            <w:r w:rsidR="008C6018">
              <w:rPr>
                <w:noProof/>
                <w:webHidden/>
              </w:rPr>
              <w:fldChar w:fldCharType="end"/>
            </w:r>
          </w:hyperlink>
        </w:p>
        <w:p w14:paraId="16530432" w14:textId="30DA460F" w:rsidR="008C6018" w:rsidRDefault="00AF5CF6">
          <w:pPr>
            <w:pStyle w:val="TOC2"/>
            <w:rPr>
              <w:rFonts w:eastAsiaTheme="minorEastAsia"/>
              <w:noProof/>
            </w:rPr>
          </w:pPr>
          <w:hyperlink w:anchor="_Toc41670030" w:history="1">
            <w:r w:rsidR="008C6018" w:rsidRPr="001001BD">
              <w:rPr>
                <w:rStyle w:val="Hyperlink"/>
                <w:noProof/>
              </w:rPr>
              <w:t>17.</w:t>
            </w:r>
            <w:r w:rsidR="008C6018">
              <w:rPr>
                <w:rFonts w:eastAsiaTheme="minorEastAsia"/>
                <w:noProof/>
              </w:rPr>
              <w:tab/>
            </w:r>
            <w:r w:rsidR="008C6018" w:rsidRPr="001001BD">
              <w:rPr>
                <w:rStyle w:val="Hyperlink"/>
                <w:noProof/>
              </w:rPr>
              <w:t>Do all schools have to be in the QOZ to get full CPP points?</w:t>
            </w:r>
            <w:r w:rsidR="008C6018">
              <w:rPr>
                <w:noProof/>
                <w:webHidden/>
              </w:rPr>
              <w:tab/>
            </w:r>
            <w:r w:rsidR="008C6018">
              <w:rPr>
                <w:noProof/>
                <w:webHidden/>
              </w:rPr>
              <w:fldChar w:fldCharType="begin"/>
            </w:r>
            <w:r w:rsidR="008C6018">
              <w:rPr>
                <w:noProof/>
                <w:webHidden/>
              </w:rPr>
              <w:instrText xml:space="preserve"> PAGEREF _Toc41670030 \h </w:instrText>
            </w:r>
            <w:r w:rsidR="008C6018">
              <w:rPr>
                <w:noProof/>
                <w:webHidden/>
              </w:rPr>
            </w:r>
            <w:r w:rsidR="008C6018">
              <w:rPr>
                <w:noProof/>
                <w:webHidden/>
              </w:rPr>
              <w:fldChar w:fldCharType="separate"/>
            </w:r>
            <w:r w:rsidR="008C6018">
              <w:rPr>
                <w:noProof/>
                <w:webHidden/>
              </w:rPr>
              <w:t>6</w:t>
            </w:r>
            <w:r w:rsidR="008C6018">
              <w:rPr>
                <w:noProof/>
                <w:webHidden/>
              </w:rPr>
              <w:fldChar w:fldCharType="end"/>
            </w:r>
          </w:hyperlink>
        </w:p>
        <w:p w14:paraId="09D4C0FE" w14:textId="452F0086" w:rsidR="008C6018" w:rsidRDefault="00AF5CF6">
          <w:pPr>
            <w:pStyle w:val="TOC2"/>
            <w:rPr>
              <w:rFonts w:eastAsiaTheme="minorEastAsia"/>
              <w:noProof/>
            </w:rPr>
          </w:pPr>
          <w:hyperlink w:anchor="_Toc41670031" w:history="1">
            <w:r w:rsidR="008C6018" w:rsidRPr="001001BD">
              <w:rPr>
                <w:rStyle w:val="Hyperlink"/>
                <w:noProof/>
              </w:rPr>
              <w:t>18.</w:t>
            </w:r>
            <w:r w:rsidR="008C6018">
              <w:rPr>
                <w:rFonts w:eastAsiaTheme="minorEastAsia"/>
                <w:noProof/>
              </w:rPr>
              <w:tab/>
            </w:r>
            <w:r w:rsidR="008C6018" w:rsidRPr="001001BD">
              <w:rPr>
                <w:rStyle w:val="Hyperlink"/>
                <w:noProof/>
              </w:rPr>
              <w:t>Does the school need to be in the QOZ, or can it exist outside the QOZ but serve students who live within it?</w:t>
            </w:r>
            <w:r w:rsidR="008C6018">
              <w:rPr>
                <w:noProof/>
                <w:webHidden/>
              </w:rPr>
              <w:tab/>
            </w:r>
            <w:r w:rsidR="008C6018">
              <w:rPr>
                <w:noProof/>
                <w:webHidden/>
              </w:rPr>
              <w:fldChar w:fldCharType="begin"/>
            </w:r>
            <w:r w:rsidR="008C6018">
              <w:rPr>
                <w:noProof/>
                <w:webHidden/>
              </w:rPr>
              <w:instrText xml:space="preserve"> PAGEREF _Toc41670031 \h </w:instrText>
            </w:r>
            <w:r w:rsidR="008C6018">
              <w:rPr>
                <w:noProof/>
                <w:webHidden/>
              </w:rPr>
            </w:r>
            <w:r w:rsidR="008C6018">
              <w:rPr>
                <w:noProof/>
                <w:webHidden/>
              </w:rPr>
              <w:fldChar w:fldCharType="separate"/>
            </w:r>
            <w:r w:rsidR="008C6018">
              <w:rPr>
                <w:noProof/>
                <w:webHidden/>
              </w:rPr>
              <w:t>6</w:t>
            </w:r>
            <w:r w:rsidR="008C6018">
              <w:rPr>
                <w:noProof/>
                <w:webHidden/>
              </w:rPr>
              <w:fldChar w:fldCharType="end"/>
            </w:r>
          </w:hyperlink>
        </w:p>
        <w:p w14:paraId="41FC870C" w14:textId="4F0902AD" w:rsidR="008C6018" w:rsidRDefault="00AF5CF6">
          <w:pPr>
            <w:pStyle w:val="TOC2"/>
            <w:rPr>
              <w:rFonts w:eastAsiaTheme="minorEastAsia"/>
              <w:noProof/>
            </w:rPr>
          </w:pPr>
          <w:hyperlink w:anchor="_Toc41670032" w:history="1">
            <w:r w:rsidR="008C6018" w:rsidRPr="001001BD">
              <w:rPr>
                <w:rStyle w:val="Hyperlink"/>
                <w:noProof/>
              </w:rPr>
              <w:t>19.</w:t>
            </w:r>
            <w:r w:rsidR="008C6018">
              <w:rPr>
                <w:rFonts w:eastAsiaTheme="minorEastAsia"/>
                <w:noProof/>
              </w:rPr>
              <w:tab/>
            </w:r>
            <w:r w:rsidR="008C6018" w:rsidRPr="001001BD">
              <w:rPr>
                <w:rStyle w:val="Hyperlink"/>
                <w:noProof/>
              </w:rPr>
              <w:t>How could an applicant address Competitive Preference Priority 2 and how are points assigned?</w:t>
            </w:r>
            <w:r w:rsidR="008C6018">
              <w:rPr>
                <w:noProof/>
                <w:webHidden/>
              </w:rPr>
              <w:tab/>
            </w:r>
            <w:r w:rsidR="008C6018">
              <w:rPr>
                <w:noProof/>
                <w:webHidden/>
              </w:rPr>
              <w:fldChar w:fldCharType="begin"/>
            </w:r>
            <w:r w:rsidR="008C6018">
              <w:rPr>
                <w:noProof/>
                <w:webHidden/>
              </w:rPr>
              <w:instrText xml:space="preserve"> PAGEREF _Toc41670032 \h </w:instrText>
            </w:r>
            <w:r w:rsidR="008C6018">
              <w:rPr>
                <w:noProof/>
                <w:webHidden/>
              </w:rPr>
            </w:r>
            <w:r w:rsidR="008C6018">
              <w:rPr>
                <w:noProof/>
                <w:webHidden/>
              </w:rPr>
              <w:fldChar w:fldCharType="separate"/>
            </w:r>
            <w:r w:rsidR="008C6018">
              <w:rPr>
                <w:noProof/>
                <w:webHidden/>
              </w:rPr>
              <w:t>7</w:t>
            </w:r>
            <w:r w:rsidR="008C6018">
              <w:rPr>
                <w:noProof/>
                <w:webHidden/>
              </w:rPr>
              <w:fldChar w:fldCharType="end"/>
            </w:r>
          </w:hyperlink>
        </w:p>
        <w:p w14:paraId="0FD5A8BC" w14:textId="1C80EEDF" w:rsidR="008C6018" w:rsidRDefault="00AF5CF6">
          <w:pPr>
            <w:pStyle w:val="TOC1"/>
            <w:rPr>
              <w:rFonts w:eastAsiaTheme="minorEastAsia"/>
              <w:b w:val="0"/>
              <w:bCs w:val="0"/>
            </w:rPr>
          </w:pPr>
          <w:hyperlink w:anchor="_Toc41670033" w:history="1">
            <w:r w:rsidR="008C6018" w:rsidRPr="001001BD">
              <w:rPr>
                <w:rStyle w:val="Hyperlink"/>
              </w:rPr>
              <w:t>Programmatic and General Application Questions</w:t>
            </w:r>
            <w:r w:rsidR="008C6018">
              <w:rPr>
                <w:webHidden/>
              </w:rPr>
              <w:tab/>
            </w:r>
            <w:r w:rsidR="008C6018">
              <w:rPr>
                <w:webHidden/>
              </w:rPr>
              <w:fldChar w:fldCharType="begin"/>
            </w:r>
            <w:r w:rsidR="008C6018">
              <w:rPr>
                <w:webHidden/>
              </w:rPr>
              <w:instrText xml:space="preserve"> PAGEREF _Toc41670033 \h </w:instrText>
            </w:r>
            <w:r w:rsidR="008C6018">
              <w:rPr>
                <w:webHidden/>
              </w:rPr>
            </w:r>
            <w:r w:rsidR="008C6018">
              <w:rPr>
                <w:webHidden/>
              </w:rPr>
              <w:fldChar w:fldCharType="separate"/>
            </w:r>
            <w:r w:rsidR="008C6018">
              <w:rPr>
                <w:webHidden/>
              </w:rPr>
              <w:t>7</w:t>
            </w:r>
            <w:r w:rsidR="008C6018">
              <w:rPr>
                <w:webHidden/>
              </w:rPr>
              <w:fldChar w:fldCharType="end"/>
            </w:r>
          </w:hyperlink>
        </w:p>
        <w:p w14:paraId="12B6F1D1" w14:textId="3F270EC4" w:rsidR="008C6018" w:rsidRDefault="00AF5CF6">
          <w:pPr>
            <w:pStyle w:val="TOC2"/>
            <w:rPr>
              <w:rFonts w:eastAsiaTheme="minorEastAsia"/>
              <w:noProof/>
            </w:rPr>
          </w:pPr>
          <w:hyperlink w:anchor="_Toc41670034" w:history="1">
            <w:r w:rsidR="008C6018" w:rsidRPr="001001BD">
              <w:rPr>
                <w:rStyle w:val="Hyperlink"/>
                <w:noProof/>
              </w:rPr>
              <w:t>20.</w:t>
            </w:r>
            <w:r w:rsidR="008C6018">
              <w:rPr>
                <w:rFonts w:eastAsiaTheme="minorEastAsia"/>
                <w:noProof/>
              </w:rPr>
              <w:tab/>
            </w:r>
            <w:r w:rsidR="008C6018" w:rsidRPr="001001BD">
              <w:rPr>
                <w:rStyle w:val="Hyperlink"/>
                <w:noProof/>
              </w:rPr>
              <w:t>How might a proposed project develop approaches to remote or distance learning due to the effects of the COVID-19 pandemic?</w:t>
            </w:r>
            <w:r w:rsidR="008C6018">
              <w:rPr>
                <w:noProof/>
                <w:webHidden/>
              </w:rPr>
              <w:tab/>
            </w:r>
            <w:r w:rsidR="008C6018">
              <w:rPr>
                <w:noProof/>
                <w:webHidden/>
              </w:rPr>
              <w:fldChar w:fldCharType="begin"/>
            </w:r>
            <w:r w:rsidR="008C6018">
              <w:rPr>
                <w:noProof/>
                <w:webHidden/>
              </w:rPr>
              <w:instrText xml:space="preserve"> PAGEREF _Toc41670034 \h </w:instrText>
            </w:r>
            <w:r w:rsidR="008C6018">
              <w:rPr>
                <w:noProof/>
                <w:webHidden/>
              </w:rPr>
            </w:r>
            <w:r w:rsidR="008C6018">
              <w:rPr>
                <w:noProof/>
                <w:webHidden/>
              </w:rPr>
              <w:fldChar w:fldCharType="separate"/>
            </w:r>
            <w:r w:rsidR="008C6018">
              <w:rPr>
                <w:noProof/>
                <w:webHidden/>
              </w:rPr>
              <w:t>7</w:t>
            </w:r>
            <w:r w:rsidR="008C6018">
              <w:rPr>
                <w:noProof/>
                <w:webHidden/>
              </w:rPr>
              <w:fldChar w:fldCharType="end"/>
            </w:r>
          </w:hyperlink>
        </w:p>
        <w:p w14:paraId="0F679746" w14:textId="03FC12D4" w:rsidR="008C6018" w:rsidRDefault="00AF5CF6">
          <w:pPr>
            <w:pStyle w:val="TOC2"/>
            <w:rPr>
              <w:rFonts w:eastAsiaTheme="minorEastAsia"/>
              <w:noProof/>
            </w:rPr>
          </w:pPr>
          <w:hyperlink w:anchor="_Toc41670035" w:history="1">
            <w:r w:rsidR="008C6018" w:rsidRPr="001001BD">
              <w:rPr>
                <w:rStyle w:val="Hyperlink"/>
                <w:noProof/>
              </w:rPr>
              <w:t>21.</w:t>
            </w:r>
            <w:r w:rsidR="008C6018">
              <w:rPr>
                <w:rFonts w:eastAsiaTheme="minorEastAsia"/>
                <w:noProof/>
              </w:rPr>
              <w:tab/>
            </w:r>
            <w:r w:rsidR="008C6018" w:rsidRPr="001001BD">
              <w:rPr>
                <w:rStyle w:val="Hyperlink"/>
                <w:noProof/>
              </w:rPr>
              <w:t>Must an application include a needs assessment?</w:t>
            </w:r>
            <w:r w:rsidR="008C6018">
              <w:rPr>
                <w:noProof/>
                <w:webHidden/>
              </w:rPr>
              <w:tab/>
            </w:r>
            <w:r w:rsidR="008C6018">
              <w:rPr>
                <w:noProof/>
                <w:webHidden/>
              </w:rPr>
              <w:fldChar w:fldCharType="begin"/>
            </w:r>
            <w:r w:rsidR="008C6018">
              <w:rPr>
                <w:noProof/>
                <w:webHidden/>
              </w:rPr>
              <w:instrText xml:space="preserve"> PAGEREF _Toc41670035 \h </w:instrText>
            </w:r>
            <w:r w:rsidR="008C6018">
              <w:rPr>
                <w:noProof/>
                <w:webHidden/>
              </w:rPr>
            </w:r>
            <w:r w:rsidR="008C6018">
              <w:rPr>
                <w:noProof/>
                <w:webHidden/>
              </w:rPr>
              <w:fldChar w:fldCharType="separate"/>
            </w:r>
            <w:r w:rsidR="008C6018">
              <w:rPr>
                <w:noProof/>
                <w:webHidden/>
              </w:rPr>
              <w:t>7</w:t>
            </w:r>
            <w:r w:rsidR="008C6018">
              <w:rPr>
                <w:noProof/>
                <w:webHidden/>
              </w:rPr>
              <w:fldChar w:fldCharType="end"/>
            </w:r>
          </w:hyperlink>
        </w:p>
        <w:p w14:paraId="142322B0" w14:textId="0D4DB388" w:rsidR="008C6018" w:rsidRDefault="00AF5CF6">
          <w:pPr>
            <w:pStyle w:val="TOC2"/>
            <w:rPr>
              <w:rFonts w:eastAsiaTheme="minorEastAsia"/>
              <w:noProof/>
            </w:rPr>
          </w:pPr>
          <w:hyperlink w:anchor="_Toc41670036" w:history="1">
            <w:r w:rsidR="008C6018" w:rsidRPr="001001BD">
              <w:rPr>
                <w:rStyle w:val="Hyperlink"/>
                <w:noProof/>
              </w:rPr>
              <w:t>22.</w:t>
            </w:r>
            <w:r w:rsidR="008C6018">
              <w:rPr>
                <w:rFonts w:eastAsiaTheme="minorEastAsia"/>
                <w:noProof/>
              </w:rPr>
              <w:tab/>
            </w:r>
            <w:r w:rsidR="008C6018" w:rsidRPr="001001BD">
              <w:rPr>
                <w:rStyle w:val="Hyperlink"/>
                <w:noProof/>
              </w:rPr>
              <w:t>May individuals who are already certified to teach in one area participate in the teaching residency program as a way of becoming certified in another area?</w:t>
            </w:r>
            <w:r w:rsidR="008C6018">
              <w:rPr>
                <w:noProof/>
                <w:webHidden/>
              </w:rPr>
              <w:tab/>
            </w:r>
            <w:r w:rsidR="008C6018">
              <w:rPr>
                <w:noProof/>
                <w:webHidden/>
              </w:rPr>
              <w:fldChar w:fldCharType="begin"/>
            </w:r>
            <w:r w:rsidR="008C6018">
              <w:rPr>
                <w:noProof/>
                <w:webHidden/>
              </w:rPr>
              <w:instrText xml:space="preserve"> PAGEREF _Toc41670036 \h </w:instrText>
            </w:r>
            <w:r w:rsidR="008C6018">
              <w:rPr>
                <w:noProof/>
                <w:webHidden/>
              </w:rPr>
            </w:r>
            <w:r w:rsidR="008C6018">
              <w:rPr>
                <w:noProof/>
                <w:webHidden/>
              </w:rPr>
              <w:fldChar w:fldCharType="separate"/>
            </w:r>
            <w:r w:rsidR="008C6018">
              <w:rPr>
                <w:noProof/>
                <w:webHidden/>
              </w:rPr>
              <w:t>7</w:t>
            </w:r>
            <w:r w:rsidR="008C6018">
              <w:rPr>
                <w:noProof/>
                <w:webHidden/>
              </w:rPr>
              <w:fldChar w:fldCharType="end"/>
            </w:r>
          </w:hyperlink>
        </w:p>
        <w:p w14:paraId="22F66DA4" w14:textId="032DF471" w:rsidR="008C6018" w:rsidRDefault="00AF5CF6">
          <w:pPr>
            <w:pStyle w:val="TOC2"/>
            <w:rPr>
              <w:rFonts w:eastAsiaTheme="minorEastAsia"/>
              <w:noProof/>
            </w:rPr>
          </w:pPr>
          <w:hyperlink w:anchor="_Toc41670037" w:history="1">
            <w:r w:rsidR="008C6018" w:rsidRPr="001001BD">
              <w:rPr>
                <w:rStyle w:val="Hyperlink"/>
                <w:noProof/>
              </w:rPr>
              <w:t>23.</w:t>
            </w:r>
            <w:r w:rsidR="008C6018">
              <w:rPr>
                <w:rFonts w:eastAsiaTheme="minorEastAsia"/>
                <w:noProof/>
              </w:rPr>
              <w:tab/>
            </w:r>
            <w:r w:rsidR="008C6018" w:rsidRPr="001001BD">
              <w:rPr>
                <w:rStyle w:val="Hyperlink"/>
                <w:noProof/>
              </w:rPr>
              <w:t>What is a teaching resident’s service obligation, and who is responsible for tracking whether, upon completion of their teaching residencies, residents have met it?</w:t>
            </w:r>
            <w:r w:rsidR="008C6018">
              <w:rPr>
                <w:noProof/>
                <w:webHidden/>
              </w:rPr>
              <w:tab/>
            </w:r>
            <w:r w:rsidR="008C6018">
              <w:rPr>
                <w:noProof/>
                <w:webHidden/>
              </w:rPr>
              <w:fldChar w:fldCharType="begin"/>
            </w:r>
            <w:r w:rsidR="008C6018">
              <w:rPr>
                <w:noProof/>
                <w:webHidden/>
              </w:rPr>
              <w:instrText xml:space="preserve"> PAGEREF _Toc41670037 \h </w:instrText>
            </w:r>
            <w:r w:rsidR="008C6018">
              <w:rPr>
                <w:noProof/>
                <w:webHidden/>
              </w:rPr>
            </w:r>
            <w:r w:rsidR="008C6018">
              <w:rPr>
                <w:noProof/>
                <w:webHidden/>
              </w:rPr>
              <w:fldChar w:fldCharType="separate"/>
            </w:r>
            <w:r w:rsidR="008C6018">
              <w:rPr>
                <w:noProof/>
                <w:webHidden/>
              </w:rPr>
              <w:t>7</w:t>
            </w:r>
            <w:r w:rsidR="008C6018">
              <w:rPr>
                <w:noProof/>
                <w:webHidden/>
              </w:rPr>
              <w:fldChar w:fldCharType="end"/>
            </w:r>
          </w:hyperlink>
        </w:p>
        <w:p w14:paraId="62D8ECCA" w14:textId="0F8455BB" w:rsidR="008C6018" w:rsidRDefault="00AF5CF6">
          <w:pPr>
            <w:pStyle w:val="TOC2"/>
            <w:rPr>
              <w:rFonts w:eastAsiaTheme="minorEastAsia"/>
              <w:noProof/>
            </w:rPr>
          </w:pPr>
          <w:hyperlink w:anchor="_Toc41670038" w:history="1">
            <w:r w:rsidR="008C6018" w:rsidRPr="001001BD">
              <w:rPr>
                <w:rStyle w:val="Hyperlink"/>
                <w:noProof/>
              </w:rPr>
              <w:t>24.</w:t>
            </w:r>
            <w:r w:rsidR="008C6018">
              <w:rPr>
                <w:rFonts w:eastAsiaTheme="minorEastAsia"/>
                <w:noProof/>
              </w:rPr>
              <w:tab/>
            </w:r>
            <w:r w:rsidR="008C6018" w:rsidRPr="001001BD">
              <w:rPr>
                <w:rStyle w:val="Hyperlink"/>
                <w:noProof/>
              </w:rPr>
              <w:t>What is meant by a deferral of the teaching resident’s service obligation on the grounds of “inability to secure employment in a school served by the eligible partnership”?</w:t>
            </w:r>
            <w:r w:rsidR="008C6018">
              <w:rPr>
                <w:noProof/>
                <w:webHidden/>
              </w:rPr>
              <w:tab/>
            </w:r>
            <w:r w:rsidR="008C6018">
              <w:rPr>
                <w:noProof/>
                <w:webHidden/>
              </w:rPr>
              <w:fldChar w:fldCharType="begin"/>
            </w:r>
            <w:r w:rsidR="008C6018">
              <w:rPr>
                <w:noProof/>
                <w:webHidden/>
              </w:rPr>
              <w:instrText xml:space="preserve"> PAGEREF _Toc41670038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3700F4C6" w14:textId="431FA266" w:rsidR="008C6018" w:rsidRDefault="00AF5CF6">
          <w:pPr>
            <w:pStyle w:val="TOC2"/>
            <w:rPr>
              <w:rFonts w:eastAsiaTheme="minorEastAsia"/>
              <w:noProof/>
            </w:rPr>
          </w:pPr>
          <w:hyperlink w:anchor="_Toc41670039" w:history="1">
            <w:r w:rsidR="008C6018" w:rsidRPr="001001BD">
              <w:rPr>
                <w:rStyle w:val="Hyperlink"/>
                <w:noProof/>
              </w:rPr>
              <w:t>25.</w:t>
            </w:r>
            <w:r w:rsidR="008C6018">
              <w:rPr>
                <w:rFonts w:eastAsiaTheme="minorEastAsia"/>
                <w:noProof/>
              </w:rPr>
              <w:tab/>
            </w:r>
            <w:r w:rsidR="008C6018" w:rsidRPr="001001BD">
              <w:rPr>
                <w:rStyle w:val="Hyperlink"/>
                <w:noProof/>
              </w:rPr>
              <w:t>In teaching residency projects, may payment of the participants’ “one-year living stipend or salary” be made with either TQP grant funds or with non-Federal match funds?</w:t>
            </w:r>
            <w:r w:rsidR="008C6018">
              <w:rPr>
                <w:noProof/>
                <w:webHidden/>
              </w:rPr>
              <w:tab/>
            </w:r>
            <w:r w:rsidR="008C6018">
              <w:rPr>
                <w:noProof/>
                <w:webHidden/>
              </w:rPr>
              <w:fldChar w:fldCharType="begin"/>
            </w:r>
            <w:r w:rsidR="008C6018">
              <w:rPr>
                <w:noProof/>
                <w:webHidden/>
              </w:rPr>
              <w:instrText xml:space="preserve"> PAGEREF _Toc41670039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3ABB1F48" w14:textId="1B5D2CB8" w:rsidR="008C6018" w:rsidRDefault="00AF5CF6">
          <w:pPr>
            <w:pStyle w:val="TOC2"/>
            <w:rPr>
              <w:rFonts w:eastAsiaTheme="minorEastAsia"/>
              <w:noProof/>
            </w:rPr>
          </w:pPr>
          <w:hyperlink w:anchor="_Toc41670040" w:history="1">
            <w:r w:rsidR="008C6018" w:rsidRPr="001001BD">
              <w:rPr>
                <w:rStyle w:val="Hyperlink"/>
                <w:noProof/>
              </w:rPr>
              <w:t>26.</w:t>
            </w:r>
            <w:r w:rsidR="008C6018">
              <w:rPr>
                <w:rFonts w:eastAsiaTheme="minorEastAsia"/>
                <w:noProof/>
              </w:rPr>
              <w:tab/>
            </w:r>
            <w:r w:rsidR="008C6018" w:rsidRPr="001001BD">
              <w:rPr>
                <w:rStyle w:val="Hyperlink"/>
                <w:noProof/>
              </w:rPr>
              <w:t>How are living stipends or salaries categorized for accounting purposes with the partner IHE and teacher residents?</w:t>
            </w:r>
            <w:r w:rsidR="008C6018">
              <w:rPr>
                <w:noProof/>
                <w:webHidden/>
              </w:rPr>
              <w:tab/>
            </w:r>
            <w:r w:rsidR="008C6018">
              <w:rPr>
                <w:noProof/>
                <w:webHidden/>
              </w:rPr>
              <w:fldChar w:fldCharType="begin"/>
            </w:r>
            <w:r w:rsidR="008C6018">
              <w:rPr>
                <w:noProof/>
                <w:webHidden/>
              </w:rPr>
              <w:instrText xml:space="preserve"> PAGEREF _Toc41670040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37ABCE58" w14:textId="1BAE1CE3" w:rsidR="008C6018" w:rsidRDefault="00AF5CF6">
          <w:pPr>
            <w:pStyle w:val="TOC2"/>
            <w:rPr>
              <w:rFonts w:eastAsiaTheme="minorEastAsia"/>
              <w:noProof/>
            </w:rPr>
          </w:pPr>
          <w:hyperlink w:anchor="_Toc41670041" w:history="1">
            <w:r w:rsidR="008C6018" w:rsidRPr="001001BD">
              <w:rPr>
                <w:rStyle w:val="Hyperlink"/>
                <w:noProof/>
              </w:rPr>
              <w:t>27.</w:t>
            </w:r>
            <w:r w:rsidR="008C6018">
              <w:rPr>
                <w:rFonts w:eastAsiaTheme="minorEastAsia"/>
                <w:noProof/>
              </w:rPr>
              <w:tab/>
            </w:r>
            <w:r w:rsidR="008C6018" w:rsidRPr="001001BD">
              <w:rPr>
                <w:rStyle w:val="Hyperlink"/>
                <w:noProof/>
              </w:rPr>
              <w:t>May grantees use TQP funds to pay student stipends or tuition reduction to project participants? May TQP funds pay the costs of participants’ certification or State testing?</w:t>
            </w:r>
            <w:r w:rsidR="008C6018">
              <w:rPr>
                <w:noProof/>
                <w:webHidden/>
              </w:rPr>
              <w:tab/>
            </w:r>
            <w:r w:rsidR="008C6018">
              <w:rPr>
                <w:noProof/>
                <w:webHidden/>
              </w:rPr>
              <w:fldChar w:fldCharType="begin"/>
            </w:r>
            <w:r w:rsidR="008C6018">
              <w:rPr>
                <w:noProof/>
                <w:webHidden/>
              </w:rPr>
              <w:instrText xml:space="preserve"> PAGEREF _Toc41670041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5517E0DB" w14:textId="427A0CC0" w:rsidR="008C6018" w:rsidRDefault="00AF5CF6">
          <w:pPr>
            <w:pStyle w:val="TOC2"/>
            <w:rPr>
              <w:rFonts w:eastAsiaTheme="minorEastAsia"/>
              <w:noProof/>
            </w:rPr>
          </w:pPr>
          <w:hyperlink w:anchor="_Toc41670042" w:history="1">
            <w:r w:rsidR="008C6018" w:rsidRPr="001001BD">
              <w:rPr>
                <w:rStyle w:val="Hyperlink"/>
                <w:noProof/>
              </w:rPr>
              <w:t>28.</w:t>
            </w:r>
            <w:r w:rsidR="008C6018">
              <w:rPr>
                <w:rFonts w:eastAsiaTheme="minorEastAsia"/>
                <w:noProof/>
              </w:rPr>
              <w:tab/>
            </w:r>
            <w:r w:rsidR="008C6018" w:rsidRPr="001001BD">
              <w:rPr>
                <w:rStyle w:val="Hyperlink"/>
                <w:noProof/>
              </w:rPr>
              <w:t>May an applicant seek TQP funding to prepare multiple cohorts of teachers in a teaching residency program?</w:t>
            </w:r>
            <w:r w:rsidR="008C6018">
              <w:rPr>
                <w:noProof/>
                <w:webHidden/>
              </w:rPr>
              <w:tab/>
            </w:r>
            <w:r w:rsidR="008C6018">
              <w:rPr>
                <w:noProof/>
                <w:webHidden/>
              </w:rPr>
              <w:fldChar w:fldCharType="begin"/>
            </w:r>
            <w:r w:rsidR="008C6018">
              <w:rPr>
                <w:noProof/>
                <w:webHidden/>
              </w:rPr>
              <w:instrText xml:space="preserve"> PAGEREF _Toc41670042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101A1810" w14:textId="52A1C282" w:rsidR="008C6018" w:rsidRDefault="00AF5CF6">
          <w:pPr>
            <w:pStyle w:val="TOC2"/>
            <w:rPr>
              <w:rFonts w:eastAsiaTheme="minorEastAsia"/>
              <w:noProof/>
            </w:rPr>
          </w:pPr>
          <w:hyperlink w:anchor="_Toc41670043" w:history="1">
            <w:r w:rsidR="008C6018" w:rsidRPr="001001BD">
              <w:rPr>
                <w:rStyle w:val="Hyperlink"/>
                <w:noProof/>
              </w:rPr>
              <w:t>29.</w:t>
            </w:r>
            <w:r w:rsidR="008C6018">
              <w:rPr>
                <w:rFonts w:eastAsiaTheme="minorEastAsia"/>
                <w:noProof/>
              </w:rPr>
              <w:tab/>
            </w:r>
            <w:r w:rsidR="008C6018" w:rsidRPr="001001BD">
              <w:rPr>
                <w:rStyle w:val="Hyperlink"/>
                <w:noProof/>
              </w:rPr>
              <w:t>What is the required length of the teaching residency program?</w:t>
            </w:r>
            <w:r w:rsidR="008C6018">
              <w:rPr>
                <w:noProof/>
                <w:webHidden/>
              </w:rPr>
              <w:tab/>
            </w:r>
            <w:r w:rsidR="008C6018">
              <w:rPr>
                <w:noProof/>
                <w:webHidden/>
              </w:rPr>
              <w:fldChar w:fldCharType="begin"/>
            </w:r>
            <w:r w:rsidR="008C6018">
              <w:rPr>
                <w:noProof/>
                <w:webHidden/>
              </w:rPr>
              <w:instrText xml:space="preserve"> PAGEREF _Toc41670043 \h </w:instrText>
            </w:r>
            <w:r w:rsidR="008C6018">
              <w:rPr>
                <w:noProof/>
                <w:webHidden/>
              </w:rPr>
            </w:r>
            <w:r w:rsidR="008C6018">
              <w:rPr>
                <w:noProof/>
                <w:webHidden/>
              </w:rPr>
              <w:fldChar w:fldCharType="separate"/>
            </w:r>
            <w:r w:rsidR="008C6018">
              <w:rPr>
                <w:noProof/>
                <w:webHidden/>
              </w:rPr>
              <w:t>8</w:t>
            </w:r>
            <w:r w:rsidR="008C6018">
              <w:rPr>
                <w:noProof/>
                <w:webHidden/>
              </w:rPr>
              <w:fldChar w:fldCharType="end"/>
            </w:r>
          </w:hyperlink>
        </w:p>
        <w:p w14:paraId="5419E3DF" w14:textId="79B573B5" w:rsidR="008C6018" w:rsidRDefault="00AF5CF6">
          <w:pPr>
            <w:pStyle w:val="TOC2"/>
            <w:rPr>
              <w:rFonts w:eastAsiaTheme="minorEastAsia"/>
              <w:noProof/>
            </w:rPr>
          </w:pPr>
          <w:hyperlink w:anchor="_Toc41670044" w:history="1">
            <w:r w:rsidR="008C6018" w:rsidRPr="001001BD">
              <w:rPr>
                <w:rStyle w:val="Hyperlink"/>
                <w:noProof/>
              </w:rPr>
              <w:t>30.</w:t>
            </w:r>
            <w:r w:rsidR="008C6018">
              <w:rPr>
                <w:rFonts w:eastAsiaTheme="minorEastAsia"/>
                <w:noProof/>
              </w:rPr>
              <w:tab/>
            </w:r>
            <w:r w:rsidR="008C6018" w:rsidRPr="001001BD">
              <w:rPr>
                <w:rStyle w:val="Hyperlink"/>
                <w:noProof/>
              </w:rPr>
              <w:t>What additional teacher resident selection criteria may an applicant include for selecting eligible individuals?</w:t>
            </w:r>
            <w:r w:rsidR="008C6018">
              <w:rPr>
                <w:noProof/>
                <w:webHidden/>
              </w:rPr>
              <w:tab/>
            </w:r>
            <w:r w:rsidR="008C6018">
              <w:rPr>
                <w:noProof/>
                <w:webHidden/>
              </w:rPr>
              <w:fldChar w:fldCharType="begin"/>
            </w:r>
            <w:r w:rsidR="008C6018">
              <w:rPr>
                <w:noProof/>
                <w:webHidden/>
              </w:rPr>
              <w:instrText xml:space="preserve"> PAGEREF _Toc41670044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0047B57C" w14:textId="5928BBAF" w:rsidR="008C6018" w:rsidRDefault="00AF5CF6">
          <w:pPr>
            <w:pStyle w:val="TOC2"/>
            <w:rPr>
              <w:rFonts w:eastAsiaTheme="minorEastAsia"/>
              <w:noProof/>
            </w:rPr>
          </w:pPr>
          <w:hyperlink w:anchor="_Toc41670045" w:history="1">
            <w:r w:rsidR="008C6018" w:rsidRPr="001001BD">
              <w:rPr>
                <w:rStyle w:val="Hyperlink"/>
                <w:noProof/>
              </w:rPr>
              <w:t>31.</w:t>
            </w:r>
            <w:r w:rsidR="008C6018">
              <w:rPr>
                <w:rFonts w:eastAsiaTheme="minorEastAsia"/>
                <w:noProof/>
              </w:rPr>
              <w:tab/>
            </w:r>
            <w:r w:rsidR="008C6018" w:rsidRPr="001001BD">
              <w:rPr>
                <w:rStyle w:val="Hyperlink"/>
                <w:noProof/>
              </w:rPr>
              <w:t>May teacher mentors under the TQP program receive stipends?</w:t>
            </w:r>
            <w:r w:rsidR="008C6018">
              <w:rPr>
                <w:noProof/>
                <w:webHidden/>
              </w:rPr>
              <w:tab/>
            </w:r>
            <w:r w:rsidR="008C6018">
              <w:rPr>
                <w:noProof/>
                <w:webHidden/>
              </w:rPr>
              <w:fldChar w:fldCharType="begin"/>
            </w:r>
            <w:r w:rsidR="008C6018">
              <w:rPr>
                <w:noProof/>
                <w:webHidden/>
              </w:rPr>
              <w:instrText xml:space="preserve"> PAGEREF _Toc41670045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5A0A16DC" w14:textId="06215330" w:rsidR="008C6018" w:rsidRDefault="00AF5CF6">
          <w:pPr>
            <w:pStyle w:val="TOC2"/>
            <w:rPr>
              <w:rFonts w:eastAsiaTheme="minorEastAsia"/>
              <w:noProof/>
            </w:rPr>
          </w:pPr>
          <w:hyperlink w:anchor="_Toc41670046" w:history="1">
            <w:r w:rsidR="008C6018" w:rsidRPr="001001BD">
              <w:rPr>
                <w:rStyle w:val="Hyperlink"/>
                <w:noProof/>
              </w:rPr>
              <w:t>32.</w:t>
            </w:r>
            <w:r w:rsidR="008C6018">
              <w:rPr>
                <w:rFonts w:eastAsiaTheme="minorEastAsia"/>
                <w:noProof/>
              </w:rPr>
              <w:tab/>
            </w:r>
            <w:r w:rsidR="008C6018" w:rsidRPr="001001BD">
              <w:rPr>
                <w:rStyle w:val="Hyperlink"/>
                <w:noProof/>
              </w:rPr>
              <w:t>May TQP funds be used to secure replacement teachers for times when mentor teachers are working on TQP responsibilities outside their classrooms?</w:t>
            </w:r>
            <w:r w:rsidR="008C6018">
              <w:rPr>
                <w:noProof/>
                <w:webHidden/>
              </w:rPr>
              <w:tab/>
            </w:r>
            <w:r w:rsidR="008C6018">
              <w:rPr>
                <w:noProof/>
                <w:webHidden/>
              </w:rPr>
              <w:fldChar w:fldCharType="begin"/>
            </w:r>
            <w:r w:rsidR="008C6018">
              <w:rPr>
                <w:noProof/>
                <w:webHidden/>
              </w:rPr>
              <w:instrText xml:space="preserve"> PAGEREF _Toc41670046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501BD455" w14:textId="48FAEE2C" w:rsidR="008C6018" w:rsidRDefault="00AF5CF6">
          <w:pPr>
            <w:pStyle w:val="TOC2"/>
            <w:rPr>
              <w:rFonts w:eastAsiaTheme="minorEastAsia"/>
              <w:noProof/>
            </w:rPr>
          </w:pPr>
          <w:hyperlink w:anchor="_Toc41670047" w:history="1">
            <w:r w:rsidR="008C6018" w:rsidRPr="001001BD">
              <w:rPr>
                <w:rStyle w:val="Hyperlink"/>
                <w:noProof/>
              </w:rPr>
              <w:t>33.</w:t>
            </w:r>
            <w:r w:rsidR="008C6018">
              <w:rPr>
                <w:rFonts w:eastAsiaTheme="minorEastAsia"/>
                <w:noProof/>
              </w:rPr>
              <w:tab/>
            </w:r>
            <w:r w:rsidR="008C6018" w:rsidRPr="001001BD">
              <w:rPr>
                <w:rStyle w:val="Hyperlink"/>
                <w:noProof/>
              </w:rPr>
              <w:t>Is Early Childhood Education (ECE) a required component of the Absolute Priority for TQP projects?</w:t>
            </w:r>
            <w:r w:rsidR="008C6018">
              <w:rPr>
                <w:noProof/>
                <w:webHidden/>
              </w:rPr>
              <w:tab/>
            </w:r>
            <w:r w:rsidR="008C6018">
              <w:rPr>
                <w:noProof/>
                <w:webHidden/>
              </w:rPr>
              <w:fldChar w:fldCharType="begin"/>
            </w:r>
            <w:r w:rsidR="008C6018">
              <w:rPr>
                <w:noProof/>
                <w:webHidden/>
              </w:rPr>
              <w:instrText xml:space="preserve"> PAGEREF _Toc41670047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56ADA402" w14:textId="5F81D07A" w:rsidR="008C6018" w:rsidRDefault="00AF5CF6">
          <w:pPr>
            <w:pStyle w:val="TOC2"/>
            <w:rPr>
              <w:rFonts w:eastAsiaTheme="minorEastAsia"/>
              <w:noProof/>
            </w:rPr>
          </w:pPr>
          <w:hyperlink w:anchor="_Toc41670048" w:history="1">
            <w:r w:rsidR="008C6018" w:rsidRPr="001001BD">
              <w:rPr>
                <w:rStyle w:val="Hyperlink"/>
                <w:noProof/>
              </w:rPr>
              <w:t>34.</w:t>
            </w:r>
            <w:r w:rsidR="008C6018">
              <w:rPr>
                <w:rFonts w:eastAsiaTheme="minorEastAsia"/>
                <w:noProof/>
              </w:rPr>
              <w:tab/>
            </w:r>
            <w:r w:rsidR="008C6018" w:rsidRPr="001001BD">
              <w:rPr>
                <w:rStyle w:val="Hyperlink"/>
                <w:noProof/>
              </w:rPr>
              <w:t>May a paraprofessional participate in a TQP project under this Absolute Priority?</w:t>
            </w:r>
            <w:r w:rsidR="008C6018">
              <w:rPr>
                <w:noProof/>
                <w:webHidden/>
              </w:rPr>
              <w:tab/>
            </w:r>
            <w:r w:rsidR="008C6018">
              <w:rPr>
                <w:noProof/>
                <w:webHidden/>
              </w:rPr>
              <w:fldChar w:fldCharType="begin"/>
            </w:r>
            <w:r w:rsidR="008C6018">
              <w:rPr>
                <w:noProof/>
                <w:webHidden/>
              </w:rPr>
              <w:instrText xml:space="preserve"> PAGEREF _Toc41670048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5E79C67A" w14:textId="5AC2D77B" w:rsidR="008C6018" w:rsidRDefault="00AF5CF6">
          <w:pPr>
            <w:pStyle w:val="TOC2"/>
            <w:rPr>
              <w:rFonts w:eastAsiaTheme="minorEastAsia"/>
              <w:noProof/>
            </w:rPr>
          </w:pPr>
          <w:hyperlink w:anchor="_Toc41670049" w:history="1">
            <w:r w:rsidR="008C6018" w:rsidRPr="001001BD">
              <w:rPr>
                <w:rStyle w:val="Hyperlink"/>
                <w:noProof/>
              </w:rPr>
              <w:t>35.</w:t>
            </w:r>
            <w:r w:rsidR="008C6018">
              <w:rPr>
                <w:rFonts w:eastAsiaTheme="minorEastAsia"/>
                <w:noProof/>
              </w:rPr>
              <w:tab/>
            </w:r>
            <w:r w:rsidR="008C6018" w:rsidRPr="001001BD">
              <w:rPr>
                <w:rStyle w:val="Hyperlink"/>
                <w:noProof/>
              </w:rPr>
              <w:t>What is a “mid-career professional”?</w:t>
            </w:r>
            <w:r w:rsidR="008C6018">
              <w:rPr>
                <w:noProof/>
                <w:webHidden/>
              </w:rPr>
              <w:tab/>
            </w:r>
            <w:r w:rsidR="008C6018">
              <w:rPr>
                <w:noProof/>
                <w:webHidden/>
              </w:rPr>
              <w:fldChar w:fldCharType="begin"/>
            </w:r>
            <w:r w:rsidR="008C6018">
              <w:rPr>
                <w:noProof/>
                <w:webHidden/>
              </w:rPr>
              <w:instrText xml:space="preserve"> PAGEREF _Toc41670049 \h </w:instrText>
            </w:r>
            <w:r w:rsidR="008C6018">
              <w:rPr>
                <w:noProof/>
                <w:webHidden/>
              </w:rPr>
            </w:r>
            <w:r w:rsidR="008C6018">
              <w:rPr>
                <w:noProof/>
                <w:webHidden/>
              </w:rPr>
              <w:fldChar w:fldCharType="separate"/>
            </w:r>
            <w:r w:rsidR="008C6018">
              <w:rPr>
                <w:noProof/>
                <w:webHidden/>
              </w:rPr>
              <w:t>9</w:t>
            </w:r>
            <w:r w:rsidR="008C6018">
              <w:rPr>
                <w:noProof/>
                <w:webHidden/>
              </w:rPr>
              <w:fldChar w:fldCharType="end"/>
            </w:r>
          </w:hyperlink>
        </w:p>
        <w:p w14:paraId="00C029CA" w14:textId="0C7C17D6" w:rsidR="008C6018" w:rsidRDefault="00AF5CF6">
          <w:pPr>
            <w:pStyle w:val="TOC1"/>
            <w:rPr>
              <w:rFonts w:eastAsiaTheme="minorEastAsia"/>
              <w:b w:val="0"/>
              <w:bCs w:val="0"/>
            </w:rPr>
          </w:pPr>
          <w:hyperlink w:anchor="_Toc41670050" w:history="1">
            <w:r w:rsidR="008C6018" w:rsidRPr="001001BD">
              <w:rPr>
                <w:rStyle w:val="Hyperlink"/>
              </w:rPr>
              <w:t>Evaluation Questions</w:t>
            </w:r>
            <w:r w:rsidR="008C6018">
              <w:rPr>
                <w:webHidden/>
              </w:rPr>
              <w:tab/>
            </w:r>
            <w:r w:rsidR="008C6018">
              <w:rPr>
                <w:webHidden/>
              </w:rPr>
              <w:fldChar w:fldCharType="begin"/>
            </w:r>
            <w:r w:rsidR="008C6018">
              <w:rPr>
                <w:webHidden/>
              </w:rPr>
              <w:instrText xml:space="preserve"> PAGEREF _Toc41670050 \h </w:instrText>
            </w:r>
            <w:r w:rsidR="008C6018">
              <w:rPr>
                <w:webHidden/>
              </w:rPr>
            </w:r>
            <w:r w:rsidR="008C6018">
              <w:rPr>
                <w:webHidden/>
              </w:rPr>
              <w:fldChar w:fldCharType="separate"/>
            </w:r>
            <w:r w:rsidR="008C6018">
              <w:rPr>
                <w:webHidden/>
              </w:rPr>
              <w:t>10</w:t>
            </w:r>
            <w:r w:rsidR="008C6018">
              <w:rPr>
                <w:webHidden/>
              </w:rPr>
              <w:fldChar w:fldCharType="end"/>
            </w:r>
          </w:hyperlink>
        </w:p>
        <w:p w14:paraId="670FDA56" w14:textId="2A10287B" w:rsidR="008C6018" w:rsidRDefault="00AF5CF6">
          <w:pPr>
            <w:pStyle w:val="TOC2"/>
            <w:rPr>
              <w:rFonts w:eastAsiaTheme="minorEastAsia"/>
              <w:noProof/>
            </w:rPr>
          </w:pPr>
          <w:hyperlink w:anchor="_Toc41670051" w:history="1">
            <w:r w:rsidR="008C6018" w:rsidRPr="001001BD">
              <w:rPr>
                <w:rStyle w:val="Hyperlink"/>
                <w:noProof/>
              </w:rPr>
              <w:t>36.</w:t>
            </w:r>
            <w:r w:rsidR="008C6018">
              <w:rPr>
                <w:rFonts w:eastAsiaTheme="minorEastAsia"/>
                <w:noProof/>
              </w:rPr>
              <w:tab/>
            </w:r>
            <w:r w:rsidR="008C6018" w:rsidRPr="001001BD">
              <w:rPr>
                <w:rStyle w:val="Hyperlink"/>
                <w:noProof/>
              </w:rPr>
              <w:t>What measures should be included in the applicant’s evaluation plan?</w:t>
            </w:r>
            <w:r w:rsidR="008C6018">
              <w:rPr>
                <w:noProof/>
                <w:webHidden/>
              </w:rPr>
              <w:tab/>
            </w:r>
            <w:r w:rsidR="008C6018">
              <w:rPr>
                <w:noProof/>
                <w:webHidden/>
              </w:rPr>
              <w:fldChar w:fldCharType="begin"/>
            </w:r>
            <w:r w:rsidR="008C6018">
              <w:rPr>
                <w:noProof/>
                <w:webHidden/>
              </w:rPr>
              <w:instrText xml:space="preserve"> PAGEREF _Toc41670051 \h </w:instrText>
            </w:r>
            <w:r w:rsidR="008C6018">
              <w:rPr>
                <w:noProof/>
                <w:webHidden/>
              </w:rPr>
            </w:r>
            <w:r w:rsidR="008C6018">
              <w:rPr>
                <w:noProof/>
                <w:webHidden/>
              </w:rPr>
              <w:fldChar w:fldCharType="separate"/>
            </w:r>
            <w:r w:rsidR="008C6018">
              <w:rPr>
                <w:noProof/>
                <w:webHidden/>
              </w:rPr>
              <w:t>10</w:t>
            </w:r>
            <w:r w:rsidR="008C6018">
              <w:rPr>
                <w:noProof/>
                <w:webHidden/>
              </w:rPr>
              <w:fldChar w:fldCharType="end"/>
            </w:r>
          </w:hyperlink>
        </w:p>
        <w:p w14:paraId="6637F8AC" w14:textId="134C65F9" w:rsidR="008C6018" w:rsidRDefault="00AF5CF6">
          <w:pPr>
            <w:pStyle w:val="TOC2"/>
            <w:rPr>
              <w:rFonts w:eastAsiaTheme="minorEastAsia"/>
              <w:noProof/>
            </w:rPr>
          </w:pPr>
          <w:hyperlink w:anchor="_Toc41670052" w:history="1">
            <w:r w:rsidR="008C6018" w:rsidRPr="001001BD">
              <w:rPr>
                <w:rStyle w:val="Hyperlink"/>
                <w:noProof/>
              </w:rPr>
              <w:t>37.</w:t>
            </w:r>
            <w:r w:rsidR="008C6018">
              <w:rPr>
                <w:rFonts w:eastAsiaTheme="minorEastAsia"/>
                <w:noProof/>
              </w:rPr>
              <w:tab/>
            </w:r>
            <w:r w:rsidR="008C6018" w:rsidRPr="001001BD">
              <w:rPr>
                <w:rStyle w:val="Hyperlink"/>
                <w:noProof/>
              </w:rPr>
              <w:t>In evaluating TQP projects, must eligible partnerships use an outside evaluator?</w:t>
            </w:r>
            <w:r w:rsidR="008C6018">
              <w:rPr>
                <w:noProof/>
                <w:webHidden/>
              </w:rPr>
              <w:tab/>
            </w:r>
            <w:r w:rsidR="008C6018">
              <w:rPr>
                <w:noProof/>
                <w:webHidden/>
              </w:rPr>
              <w:fldChar w:fldCharType="begin"/>
            </w:r>
            <w:r w:rsidR="008C6018">
              <w:rPr>
                <w:noProof/>
                <w:webHidden/>
              </w:rPr>
              <w:instrText xml:space="preserve"> PAGEREF _Toc41670052 \h </w:instrText>
            </w:r>
            <w:r w:rsidR="008C6018">
              <w:rPr>
                <w:noProof/>
                <w:webHidden/>
              </w:rPr>
            </w:r>
            <w:r w:rsidR="008C6018">
              <w:rPr>
                <w:noProof/>
                <w:webHidden/>
              </w:rPr>
              <w:fldChar w:fldCharType="separate"/>
            </w:r>
            <w:r w:rsidR="008C6018">
              <w:rPr>
                <w:noProof/>
                <w:webHidden/>
              </w:rPr>
              <w:t>10</w:t>
            </w:r>
            <w:r w:rsidR="008C6018">
              <w:rPr>
                <w:noProof/>
                <w:webHidden/>
              </w:rPr>
              <w:fldChar w:fldCharType="end"/>
            </w:r>
          </w:hyperlink>
        </w:p>
        <w:p w14:paraId="0C4BC537" w14:textId="3724C515" w:rsidR="008C6018" w:rsidRDefault="00AF5CF6">
          <w:pPr>
            <w:pStyle w:val="TOC1"/>
            <w:rPr>
              <w:rFonts w:eastAsiaTheme="minorEastAsia"/>
              <w:b w:val="0"/>
              <w:bCs w:val="0"/>
            </w:rPr>
          </w:pPr>
          <w:hyperlink w:anchor="_Toc41670053" w:history="1">
            <w:r w:rsidR="008C6018" w:rsidRPr="001001BD">
              <w:rPr>
                <w:rStyle w:val="Hyperlink"/>
              </w:rPr>
              <w:t>Budget Questions</w:t>
            </w:r>
            <w:r w:rsidR="008C6018">
              <w:rPr>
                <w:webHidden/>
              </w:rPr>
              <w:tab/>
            </w:r>
            <w:r w:rsidR="008C6018">
              <w:rPr>
                <w:webHidden/>
              </w:rPr>
              <w:fldChar w:fldCharType="begin"/>
            </w:r>
            <w:r w:rsidR="008C6018">
              <w:rPr>
                <w:webHidden/>
              </w:rPr>
              <w:instrText xml:space="preserve"> PAGEREF _Toc41670053 \h </w:instrText>
            </w:r>
            <w:r w:rsidR="008C6018">
              <w:rPr>
                <w:webHidden/>
              </w:rPr>
            </w:r>
            <w:r w:rsidR="008C6018">
              <w:rPr>
                <w:webHidden/>
              </w:rPr>
              <w:fldChar w:fldCharType="separate"/>
            </w:r>
            <w:r w:rsidR="008C6018">
              <w:rPr>
                <w:webHidden/>
              </w:rPr>
              <w:t>10</w:t>
            </w:r>
            <w:r w:rsidR="008C6018">
              <w:rPr>
                <w:webHidden/>
              </w:rPr>
              <w:fldChar w:fldCharType="end"/>
            </w:r>
          </w:hyperlink>
        </w:p>
        <w:p w14:paraId="51D98394" w14:textId="1506CE36" w:rsidR="008C6018" w:rsidRDefault="00AF5CF6">
          <w:pPr>
            <w:pStyle w:val="TOC2"/>
            <w:rPr>
              <w:rFonts w:eastAsiaTheme="minorEastAsia"/>
              <w:noProof/>
            </w:rPr>
          </w:pPr>
          <w:hyperlink w:anchor="_Toc41670054" w:history="1">
            <w:r w:rsidR="008C6018" w:rsidRPr="001001BD">
              <w:rPr>
                <w:rStyle w:val="Hyperlink"/>
                <w:noProof/>
              </w:rPr>
              <w:t>38.</w:t>
            </w:r>
            <w:r w:rsidR="008C6018">
              <w:rPr>
                <w:rFonts w:eastAsiaTheme="minorEastAsia"/>
                <w:noProof/>
              </w:rPr>
              <w:tab/>
            </w:r>
            <w:r w:rsidR="008C6018" w:rsidRPr="001001BD">
              <w:rPr>
                <w:rStyle w:val="Hyperlink"/>
                <w:noProof/>
              </w:rPr>
              <w:t>What is the limitation on administrative expenses for the grant?</w:t>
            </w:r>
            <w:r w:rsidR="008C6018">
              <w:rPr>
                <w:noProof/>
                <w:webHidden/>
              </w:rPr>
              <w:tab/>
            </w:r>
            <w:r w:rsidR="008C6018">
              <w:rPr>
                <w:noProof/>
                <w:webHidden/>
              </w:rPr>
              <w:fldChar w:fldCharType="begin"/>
            </w:r>
            <w:r w:rsidR="008C6018">
              <w:rPr>
                <w:noProof/>
                <w:webHidden/>
              </w:rPr>
              <w:instrText xml:space="preserve"> PAGEREF _Toc41670054 \h </w:instrText>
            </w:r>
            <w:r w:rsidR="008C6018">
              <w:rPr>
                <w:noProof/>
                <w:webHidden/>
              </w:rPr>
            </w:r>
            <w:r w:rsidR="008C6018">
              <w:rPr>
                <w:noProof/>
                <w:webHidden/>
              </w:rPr>
              <w:fldChar w:fldCharType="separate"/>
            </w:r>
            <w:r w:rsidR="008C6018">
              <w:rPr>
                <w:noProof/>
                <w:webHidden/>
              </w:rPr>
              <w:t>10</w:t>
            </w:r>
            <w:r w:rsidR="008C6018">
              <w:rPr>
                <w:noProof/>
                <w:webHidden/>
              </w:rPr>
              <w:fldChar w:fldCharType="end"/>
            </w:r>
          </w:hyperlink>
        </w:p>
        <w:p w14:paraId="2099B23D" w14:textId="29AD8D9E" w:rsidR="008C6018" w:rsidRDefault="00AF5CF6">
          <w:pPr>
            <w:pStyle w:val="TOC2"/>
            <w:rPr>
              <w:rFonts w:eastAsiaTheme="minorEastAsia"/>
              <w:noProof/>
            </w:rPr>
          </w:pPr>
          <w:hyperlink w:anchor="_Toc41670055" w:history="1">
            <w:r w:rsidR="008C6018" w:rsidRPr="001001BD">
              <w:rPr>
                <w:rStyle w:val="Hyperlink"/>
                <w:noProof/>
              </w:rPr>
              <w:t>39.</w:t>
            </w:r>
            <w:r w:rsidR="008C6018">
              <w:rPr>
                <w:rFonts w:eastAsiaTheme="minorEastAsia"/>
                <w:noProof/>
              </w:rPr>
              <w:tab/>
            </w:r>
            <w:r w:rsidR="008C6018" w:rsidRPr="001001BD">
              <w:rPr>
                <w:rStyle w:val="Hyperlink"/>
                <w:noProof/>
              </w:rPr>
              <w:t>How does an eligible partnership determine the amount of indirect costs that it may charge to the TQP grant?</w:t>
            </w:r>
            <w:r w:rsidR="008C6018">
              <w:rPr>
                <w:noProof/>
                <w:webHidden/>
              </w:rPr>
              <w:tab/>
            </w:r>
            <w:r w:rsidR="008C6018">
              <w:rPr>
                <w:noProof/>
                <w:webHidden/>
              </w:rPr>
              <w:fldChar w:fldCharType="begin"/>
            </w:r>
            <w:r w:rsidR="008C6018">
              <w:rPr>
                <w:noProof/>
                <w:webHidden/>
              </w:rPr>
              <w:instrText xml:space="preserve"> PAGEREF _Toc41670055 \h </w:instrText>
            </w:r>
            <w:r w:rsidR="008C6018">
              <w:rPr>
                <w:noProof/>
                <w:webHidden/>
              </w:rPr>
            </w:r>
            <w:r w:rsidR="008C6018">
              <w:rPr>
                <w:noProof/>
                <w:webHidden/>
              </w:rPr>
              <w:fldChar w:fldCharType="separate"/>
            </w:r>
            <w:r w:rsidR="008C6018">
              <w:rPr>
                <w:noProof/>
                <w:webHidden/>
              </w:rPr>
              <w:t>10</w:t>
            </w:r>
            <w:r w:rsidR="008C6018">
              <w:rPr>
                <w:noProof/>
                <w:webHidden/>
              </w:rPr>
              <w:fldChar w:fldCharType="end"/>
            </w:r>
          </w:hyperlink>
        </w:p>
        <w:p w14:paraId="43579019" w14:textId="654664B9" w:rsidR="008C6018" w:rsidRDefault="00AF5CF6">
          <w:pPr>
            <w:pStyle w:val="TOC2"/>
            <w:rPr>
              <w:rFonts w:eastAsiaTheme="minorEastAsia"/>
              <w:noProof/>
            </w:rPr>
          </w:pPr>
          <w:hyperlink w:anchor="_Toc41670056" w:history="1">
            <w:r w:rsidR="008C6018" w:rsidRPr="001001BD">
              <w:rPr>
                <w:rStyle w:val="Hyperlink"/>
                <w:noProof/>
              </w:rPr>
              <w:t>40.</w:t>
            </w:r>
            <w:r w:rsidR="008C6018">
              <w:rPr>
                <w:rFonts w:eastAsiaTheme="minorEastAsia"/>
                <w:noProof/>
              </w:rPr>
              <w:tab/>
            </w:r>
            <w:r w:rsidR="008C6018" w:rsidRPr="001001BD">
              <w:rPr>
                <w:rStyle w:val="Hyperlink"/>
                <w:noProof/>
              </w:rPr>
              <w:t>How may a lead applicant that does not have an RICR obtain one?</w:t>
            </w:r>
            <w:r w:rsidR="008C6018">
              <w:rPr>
                <w:noProof/>
                <w:webHidden/>
              </w:rPr>
              <w:tab/>
            </w:r>
            <w:r w:rsidR="008C6018">
              <w:rPr>
                <w:noProof/>
                <w:webHidden/>
              </w:rPr>
              <w:fldChar w:fldCharType="begin"/>
            </w:r>
            <w:r w:rsidR="008C6018">
              <w:rPr>
                <w:noProof/>
                <w:webHidden/>
              </w:rPr>
              <w:instrText xml:space="preserve"> PAGEREF _Toc41670056 \h </w:instrText>
            </w:r>
            <w:r w:rsidR="008C6018">
              <w:rPr>
                <w:noProof/>
                <w:webHidden/>
              </w:rPr>
            </w:r>
            <w:r w:rsidR="008C6018">
              <w:rPr>
                <w:noProof/>
                <w:webHidden/>
              </w:rPr>
              <w:fldChar w:fldCharType="separate"/>
            </w:r>
            <w:r w:rsidR="008C6018">
              <w:rPr>
                <w:noProof/>
                <w:webHidden/>
              </w:rPr>
              <w:t>10</w:t>
            </w:r>
            <w:r w:rsidR="008C6018">
              <w:rPr>
                <w:noProof/>
                <w:webHidden/>
              </w:rPr>
              <w:fldChar w:fldCharType="end"/>
            </w:r>
          </w:hyperlink>
        </w:p>
        <w:p w14:paraId="1033C6DA" w14:textId="113FE2EE" w:rsidR="00717B2E" w:rsidRDefault="00524A13" w:rsidP="002D2274">
          <w:pPr>
            <w:pStyle w:val="Heading1"/>
            <w:rPr>
              <w:noProof/>
            </w:rPr>
          </w:pPr>
          <w:r>
            <w:rPr>
              <w:b w:val="0"/>
              <w:bCs/>
              <w:noProof/>
            </w:rPr>
            <w:fldChar w:fldCharType="end"/>
          </w:r>
        </w:p>
      </w:sdtContent>
    </w:sdt>
    <w:bookmarkStart w:id="1" w:name="_Toc513617662" w:displacedByCustomXml="prev"/>
    <w:p w14:paraId="02E34937" w14:textId="31C5E6CB" w:rsidR="002D2274" w:rsidRPr="002D2274" w:rsidRDefault="002D2274" w:rsidP="002D2274">
      <w:pPr>
        <w:pStyle w:val="Heading1"/>
      </w:pPr>
      <w:bookmarkStart w:id="2" w:name="_Toc41670012"/>
      <w:r w:rsidRPr="002D2274">
        <w:t>Eligibility Questions</w:t>
      </w:r>
      <w:bookmarkEnd w:id="2"/>
      <w:bookmarkEnd w:id="1"/>
    </w:p>
    <w:p w14:paraId="647C787A" w14:textId="77777777" w:rsidR="002D2274" w:rsidRPr="002D2274" w:rsidRDefault="002D2274" w:rsidP="002D2274">
      <w:pPr>
        <w:pStyle w:val="Heading2"/>
      </w:pPr>
      <w:bookmarkStart w:id="3" w:name="_Toc513617663"/>
      <w:bookmarkStart w:id="4" w:name="_Toc41670013"/>
      <w:r w:rsidRPr="002D2274">
        <w:t>May an eligible partnership apply under the Absolute Priority</w:t>
      </w:r>
      <w:r w:rsidR="00D042F0">
        <w:t xml:space="preserve"> </w:t>
      </w:r>
      <w:r w:rsidRPr="002D2274">
        <w:t>to expand or enhance an existing teaching residency program that an Institution of Higher Education (IHE) partner (partner institution) is already implementing?</w:t>
      </w:r>
      <w:bookmarkEnd w:id="3"/>
      <w:bookmarkEnd w:id="4"/>
    </w:p>
    <w:p w14:paraId="1626D4B0" w14:textId="07B97D56" w:rsidR="002D2274" w:rsidRDefault="002D2274" w:rsidP="002D2274">
      <w:r w:rsidRPr="00C57FC8">
        <w:t>Yes</w:t>
      </w:r>
      <w:r>
        <w:t>.</w:t>
      </w:r>
      <w:r w:rsidRPr="00C57FC8" w:rsidDel="00AE5376">
        <w:t xml:space="preserve"> </w:t>
      </w:r>
      <w:r w:rsidR="00AE5376">
        <w:t xml:space="preserve">However, </w:t>
      </w:r>
      <w:r w:rsidRPr="00C57FC8">
        <w:t xml:space="preserve">the </w:t>
      </w:r>
      <w:r>
        <w:t>partner institution’s</w:t>
      </w:r>
      <w:r w:rsidRPr="00C57FC8">
        <w:t xml:space="preserve"> existing teach</w:t>
      </w:r>
      <w:r>
        <w:t>ing</w:t>
      </w:r>
      <w:r w:rsidRPr="00C57FC8">
        <w:t xml:space="preserve"> residency program </w:t>
      </w:r>
      <w:r w:rsidR="00AE5376">
        <w:t xml:space="preserve">must </w:t>
      </w:r>
      <w:r w:rsidRPr="00C57FC8">
        <w:t xml:space="preserve">conform to the requirements </w:t>
      </w:r>
      <w:r>
        <w:t xml:space="preserve">specified </w:t>
      </w:r>
      <w:r w:rsidRPr="00C57FC8">
        <w:t>in</w:t>
      </w:r>
      <w:r>
        <w:t xml:space="preserve"> section 202(e) of</w:t>
      </w:r>
      <w:r w:rsidRPr="00C57FC8">
        <w:t xml:space="preserve"> </w:t>
      </w:r>
      <w:r>
        <w:t xml:space="preserve">the Higher Education Act of 1965, as amended (HEA) </w:t>
      </w:r>
      <w:r w:rsidRPr="00C57FC8">
        <w:t xml:space="preserve">and the definition of </w:t>
      </w:r>
      <w:r>
        <w:t>“</w:t>
      </w:r>
      <w:r w:rsidRPr="00C57FC8">
        <w:t>teach</w:t>
      </w:r>
      <w:r>
        <w:t xml:space="preserve">ing </w:t>
      </w:r>
      <w:r w:rsidRPr="00C57FC8">
        <w:t>residency program</w:t>
      </w:r>
      <w:r>
        <w:t>”</w:t>
      </w:r>
      <w:r w:rsidRPr="00C57FC8">
        <w:t xml:space="preserve"> in </w:t>
      </w:r>
      <w:r>
        <w:t>HEA section</w:t>
      </w:r>
      <w:r w:rsidRPr="00C57FC8">
        <w:t xml:space="preserve"> 200(22</w:t>
      </w:r>
      <w:r>
        <w:t xml:space="preserve">). </w:t>
      </w:r>
      <w:r w:rsidRPr="00BB2CD0">
        <w:t>If its current teaching residency program does not meet the</w:t>
      </w:r>
      <w:r w:rsidR="00292F03">
        <w:t xml:space="preserve"> requirements</w:t>
      </w:r>
      <w:r w:rsidR="00600EAA">
        <w:t xml:space="preserve"> in HEA section 202(e) or</w:t>
      </w:r>
      <w:r w:rsidRPr="00BB2CD0">
        <w:t xml:space="preserve"> definition for a teaching residency program in </w:t>
      </w:r>
      <w:r>
        <w:t>HEA section</w:t>
      </w:r>
      <w:r w:rsidRPr="00BB2CD0">
        <w:t xml:space="preserve"> 200(22),</w:t>
      </w:r>
      <w:r>
        <w:t xml:space="preserve"> then the applicant must demonstrate how their TQP project would </w:t>
      </w:r>
      <w:r w:rsidR="00600EAA">
        <w:t xml:space="preserve">modify the teaching residency program so that it would meet the requirement in </w:t>
      </w:r>
      <w:r w:rsidR="00174EC9">
        <w:t>202(e) and the definition in 200(22).</w:t>
      </w:r>
    </w:p>
    <w:p w14:paraId="6ABA31C9" w14:textId="1DED631F" w:rsidR="002D2274" w:rsidRPr="000F4864" w:rsidRDefault="002D2274" w:rsidP="002D2274">
      <w:pPr>
        <w:rPr>
          <w:b/>
        </w:rPr>
      </w:pPr>
      <w:r w:rsidRPr="00C57FC8">
        <w:t xml:space="preserve">Please </w:t>
      </w:r>
      <w:r>
        <w:t xml:space="preserve">also </w:t>
      </w:r>
      <w:r w:rsidRPr="00C57FC8">
        <w:t>note the TQP program has a supplement not supplant requirement</w:t>
      </w:r>
      <w:r>
        <w:t xml:space="preserve"> (HEA section 202(k))</w:t>
      </w:r>
      <w:r w:rsidRPr="00C57FC8">
        <w:t>.</w:t>
      </w:r>
      <w:r>
        <w:t xml:space="preserve"> Therefore, </w:t>
      </w:r>
      <w:r w:rsidRPr="00C57FC8">
        <w:t>TQP funds may be used to expand</w:t>
      </w:r>
      <w:r>
        <w:t xml:space="preserve"> or enhance</w:t>
      </w:r>
      <w:r w:rsidRPr="00C57FC8">
        <w:t xml:space="preserve"> capacity of existing </w:t>
      </w:r>
      <w:r>
        <w:t xml:space="preserve">teaching </w:t>
      </w:r>
      <w:r w:rsidRPr="00C57FC8">
        <w:t>residency programs</w:t>
      </w:r>
      <w:r>
        <w:t xml:space="preserve">, </w:t>
      </w:r>
      <w:r w:rsidRPr="00C57FC8">
        <w:t xml:space="preserve">but </w:t>
      </w:r>
      <w:r>
        <w:t xml:space="preserve">the grant </w:t>
      </w:r>
      <w:r w:rsidRPr="00C57FC8">
        <w:t xml:space="preserve">may not be used to pay for </w:t>
      </w:r>
      <w:r w:rsidR="00F14B83">
        <w:t>services currently provided with other funds.</w:t>
      </w:r>
      <w:r>
        <w:t xml:space="preserve"> </w:t>
      </w:r>
    </w:p>
    <w:p w14:paraId="0414E1A9" w14:textId="05E44FCE" w:rsidR="002D2274" w:rsidRPr="002D2274" w:rsidRDefault="002D2274" w:rsidP="002D2274">
      <w:pPr>
        <w:pStyle w:val="Heading2"/>
      </w:pPr>
      <w:bookmarkStart w:id="5" w:name="_Toc513617664"/>
      <w:bookmarkStart w:id="6" w:name="_Toc41670014"/>
      <w:r w:rsidRPr="002D2274">
        <w:t>How might an IHE partner document that it has a school or department of arts and sciences within such partner institution?</w:t>
      </w:r>
      <w:bookmarkEnd w:id="5"/>
      <w:bookmarkEnd w:id="6"/>
    </w:p>
    <w:p w14:paraId="3021CA9D" w14:textId="77777777" w:rsidR="002D2274" w:rsidRDefault="002D2274" w:rsidP="002D2274">
      <w:r>
        <w:t xml:space="preserve">An eligible partnership can demonstrate that an IHE’s (partner institution’s) </w:t>
      </w:r>
      <w:r w:rsidRPr="00C57FC8">
        <w:t>school or department</w:t>
      </w:r>
      <w:r>
        <w:t xml:space="preserve"> of arts and sciences is a partner in several ways. For example: </w:t>
      </w:r>
    </w:p>
    <w:p w14:paraId="1B66C80C" w14:textId="77777777" w:rsidR="002D2274" w:rsidRDefault="002D2274" w:rsidP="002D2274">
      <w:pPr>
        <w:pStyle w:val="ListParagraph"/>
        <w:numPr>
          <w:ilvl w:val="0"/>
          <w:numId w:val="20"/>
        </w:numPr>
      </w:pPr>
      <w:r>
        <w:t>T</w:t>
      </w:r>
      <w:r w:rsidRPr="00A56B27">
        <w:t xml:space="preserve">he partnership could include in the application written confirmation from the dean or other officials of the school </w:t>
      </w:r>
      <w:r>
        <w:t xml:space="preserve">or department </w:t>
      </w:r>
      <w:r w:rsidRPr="00A56B27">
        <w:t>of arts and sciences that it is a partner.</w:t>
      </w:r>
      <w:r>
        <w:t xml:space="preserve"> </w:t>
      </w:r>
    </w:p>
    <w:p w14:paraId="5115341F" w14:textId="77777777" w:rsidR="002D2274" w:rsidRPr="00C57FC8" w:rsidRDefault="002D2274" w:rsidP="002D2274">
      <w:pPr>
        <w:pStyle w:val="ListParagraph"/>
        <w:numPr>
          <w:ilvl w:val="0"/>
          <w:numId w:val="20"/>
        </w:numPr>
      </w:pPr>
      <w:r>
        <w:t xml:space="preserve">The </w:t>
      </w:r>
      <w:r w:rsidRPr="00A56B27">
        <w:t>application could include documentation of active representation in the eligible partnership of one or more faculty members from that school of arts and sciences, along with conf</w:t>
      </w:r>
      <w:r>
        <w:t>i</w:t>
      </w:r>
      <w:r w:rsidRPr="00A56B27">
        <w:t>rmation from the faculty member(s) that</w:t>
      </w:r>
      <w:r>
        <w:t>:</w:t>
      </w:r>
      <w:r w:rsidRPr="00A56B27">
        <w:t xml:space="preserve"> (1) the faculty member(s) </w:t>
      </w:r>
      <w:r>
        <w:t>represents</w:t>
      </w:r>
      <w:r w:rsidRPr="00A56B27">
        <w:t xml:space="preserve"> the school of arts and science</w:t>
      </w:r>
      <w:r>
        <w:t>;</w:t>
      </w:r>
      <w:r w:rsidRPr="00A56B27">
        <w:t xml:space="preserve"> and (2) as the project proceeds, the faculty member(s) will work in close consultation with the school’s chair and academic dean to ensure that teaching residents benefit from any subject</w:t>
      </w:r>
      <w:r>
        <w:t xml:space="preserve"> </w:t>
      </w:r>
      <w:r w:rsidRPr="00A56B27">
        <w:t>matter content.</w:t>
      </w:r>
    </w:p>
    <w:p w14:paraId="357D7935" w14:textId="77777777" w:rsidR="002D2274" w:rsidRPr="00C57FC8" w:rsidRDefault="002D2274" w:rsidP="002D2274">
      <w:r w:rsidRPr="00C57FC8">
        <w:t xml:space="preserve">In addition, if </w:t>
      </w:r>
      <w:r>
        <w:t xml:space="preserve">a partner institution </w:t>
      </w:r>
      <w:r w:rsidRPr="00C57FC8">
        <w:t>does not have a school</w:t>
      </w:r>
      <w:r>
        <w:t xml:space="preserve"> or department </w:t>
      </w:r>
      <w:r w:rsidRPr="00C57FC8">
        <w:t xml:space="preserve">of arts and sciences, the eligible partnership may </w:t>
      </w:r>
      <w:r>
        <w:t>include an additional partner institution</w:t>
      </w:r>
      <w:r w:rsidRPr="00C57FC8">
        <w:t xml:space="preserve"> that does</w:t>
      </w:r>
      <w:r>
        <w:t>—</w:t>
      </w:r>
      <w:r w:rsidRPr="00C57FC8">
        <w:t xml:space="preserve">provided that </w:t>
      </w:r>
      <w:r>
        <w:t>the</w:t>
      </w:r>
      <w:r w:rsidRPr="00C57FC8">
        <w:t xml:space="preserve"> eligible partnership </w:t>
      </w:r>
      <w:r>
        <w:t xml:space="preserve">application </w:t>
      </w:r>
      <w:r w:rsidRPr="00C57FC8">
        <w:t xml:space="preserve">and project management plan clarify how the multiple </w:t>
      </w:r>
      <w:r>
        <w:t>partner institutions</w:t>
      </w:r>
      <w:r w:rsidRPr="00C57FC8">
        <w:t>, teacher preparation program(s), and school</w:t>
      </w:r>
      <w:r>
        <w:t xml:space="preserve"> or department</w:t>
      </w:r>
      <w:r w:rsidRPr="00C57FC8">
        <w:t xml:space="preserve"> of arts and sciences will work together to promote </w:t>
      </w:r>
      <w:r>
        <w:t xml:space="preserve">the </w:t>
      </w:r>
      <w:r w:rsidRPr="00C57FC8">
        <w:t xml:space="preserve">success of the </w:t>
      </w:r>
      <w:r>
        <w:t xml:space="preserve">TQP </w:t>
      </w:r>
      <w:r w:rsidRPr="00C57FC8">
        <w:t>project.</w:t>
      </w:r>
    </w:p>
    <w:p w14:paraId="299FA7F8" w14:textId="77777777" w:rsidR="002D2274" w:rsidRPr="002D2274" w:rsidRDefault="002D2274" w:rsidP="002D2274">
      <w:pPr>
        <w:pStyle w:val="Heading2"/>
      </w:pPr>
      <w:bookmarkStart w:id="7" w:name="_Toc513617665"/>
      <w:bookmarkStart w:id="8" w:name="_Toc41670015"/>
      <w:r w:rsidRPr="002D2274">
        <w:t>May two-year IHEs be considered partner institutions?</w:t>
      </w:r>
      <w:bookmarkEnd w:id="7"/>
      <w:bookmarkEnd w:id="8"/>
    </w:p>
    <w:p w14:paraId="6CFB9408" w14:textId="77777777" w:rsidR="002D2274" w:rsidRPr="002D2274" w:rsidRDefault="002D2274" w:rsidP="002D2274">
      <w:pPr>
        <w:rPr>
          <w:b/>
          <w:bCs/>
        </w:rPr>
      </w:pPr>
      <w:r w:rsidRPr="00C57FC8">
        <w:t>Yes.</w:t>
      </w:r>
      <w:r>
        <w:t xml:space="preserve"> </w:t>
      </w:r>
      <w:r w:rsidRPr="00C57FC8">
        <w:t>Two-year IHEs may be partner institutions as long as</w:t>
      </w:r>
      <w:r>
        <w:t>:</w:t>
      </w:r>
      <w:r w:rsidRPr="00C57FC8">
        <w:t xml:space="preserve"> (1) they have a formal articulation agreement for a dual program with a four-year IHE participating in the eligible partnership</w:t>
      </w:r>
      <w:r>
        <w:t>;</w:t>
      </w:r>
      <w:r w:rsidRPr="00C57FC8">
        <w:t xml:space="preserve"> and (2) </w:t>
      </w:r>
      <w:r>
        <w:t xml:space="preserve">the </w:t>
      </w:r>
      <w:r w:rsidRPr="00C57FC8">
        <w:t>four-year IHE has a teacher preparation program that meets the definition of “partner institution.”</w:t>
      </w:r>
      <w:r>
        <w:t xml:space="preserve"> </w:t>
      </w:r>
      <w:r w:rsidRPr="00344ABF">
        <w:t>See</w:t>
      </w:r>
      <w:r w:rsidRPr="008D56CF">
        <w:t xml:space="preserve"> </w:t>
      </w:r>
      <w:r>
        <w:t xml:space="preserve">the definition of “partner institution” in </w:t>
      </w:r>
      <w:r w:rsidRPr="00C57FC8">
        <w:t xml:space="preserve">HEA </w:t>
      </w:r>
      <w:r>
        <w:t>section</w:t>
      </w:r>
      <w:r w:rsidRPr="00C57FC8">
        <w:t xml:space="preserve"> 200(17).</w:t>
      </w:r>
    </w:p>
    <w:p w14:paraId="0A6AE6ED" w14:textId="77777777" w:rsidR="002D2274" w:rsidRPr="002D2274" w:rsidRDefault="002D2274" w:rsidP="002D2274">
      <w:pPr>
        <w:pStyle w:val="Heading2"/>
      </w:pPr>
      <w:bookmarkStart w:id="9" w:name="_Toc513617666"/>
      <w:bookmarkStart w:id="10" w:name="_Toc41670016"/>
      <w:r w:rsidRPr="002D2274">
        <w:lastRenderedPageBreak/>
        <w:t>How does an elig</w:t>
      </w:r>
      <w:r w:rsidR="00C30B6F">
        <w:t>ible applicant determine that</w:t>
      </w:r>
      <w:r w:rsidRPr="002D2274">
        <w:t xml:space="preserve"> its high-need local educational agency (LEA) has at least 20 percent of, or at least 10,000 “children from low-income families”?</w:t>
      </w:r>
      <w:bookmarkEnd w:id="9"/>
      <w:bookmarkEnd w:id="10"/>
    </w:p>
    <w:p w14:paraId="4229DADA" w14:textId="77777777" w:rsidR="002D2274" w:rsidRPr="00A56B27" w:rsidRDefault="002D2274" w:rsidP="002D2274">
      <w:r>
        <w:t xml:space="preserve">HEA section 200(2) defines the phrase </w:t>
      </w:r>
      <w:r w:rsidRPr="00721902">
        <w:t>“children from low-income families</w:t>
      </w:r>
      <w:r>
        <w:t xml:space="preserve">” as described </w:t>
      </w:r>
      <w:r w:rsidRPr="00A56B27">
        <w:t xml:space="preserve">in </w:t>
      </w:r>
      <w:r>
        <w:t>s</w:t>
      </w:r>
      <w:r w:rsidRPr="00A56B27">
        <w:t>ection</w:t>
      </w:r>
      <w:r>
        <w:t xml:space="preserve"> 1124(c)(1)(A) of the Elementary and Secondary Education Act of 1965, as amended (ESEA).</w:t>
      </w:r>
      <w:r w:rsidR="00D042F0">
        <w:t xml:space="preserve"> </w:t>
      </w:r>
      <w:r w:rsidRPr="00A56B27">
        <w:t>That ESEA provision requires use of the most recent poverty data issued by the U</w:t>
      </w:r>
      <w:r>
        <w:t>nited States</w:t>
      </w:r>
      <w:r w:rsidRPr="00A56B27">
        <w:t xml:space="preserve"> Census Bureau. These data may be found in the following links:</w:t>
      </w:r>
    </w:p>
    <w:p w14:paraId="5ABDC558" w14:textId="77777777" w:rsidR="002D2274" w:rsidRDefault="00912798" w:rsidP="002D2274">
      <w:pPr>
        <w:pStyle w:val="ListParagraph"/>
        <w:numPr>
          <w:ilvl w:val="0"/>
          <w:numId w:val="21"/>
        </w:numPr>
      </w:pPr>
      <w:r>
        <w:t xml:space="preserve">For Census Bureau information: </w:t>
      </w:r>
      <w:hyperlink r:id="rId12" w:history="1">
        <w:r w:rsidR="002D2274" w:rsidRPr="00235533">
          <w:rPr>
            <w:rStyle w:val="Hyperlink"/>
          </w:rPr>
          <w:t>https://www.census.gov/programs-surveys/saipe.html</w:t>
        </w:r>
      </w:hyperlink>
      <w:r w:rsidR="002D2274">
        <w:t xml:space="preserve"> </w:t>
      </w:r>
    </w:p>
    <w:p w14:paraId="3D48AD3E" w14:textId="77777777" w:rsidR="002D2274" w:rsidRPr="00C57FC8" w:rsidRDefault="002D2274" w:rsidP="002D2274">
      <w:r w:rsidRPr="00A56B27">
        <w:t>If the Census Bureau data do not include poverty data for a particular</w:t>
      </w:r>
      <w:r>
        <w:t xml:space="preserve"> </w:t>
      </w:r>
      <w:r w:rsidRPr="00A56B27">
        <w:t xml:space="preserve">LEA, such as a charter school with LEA status, a newly created LEA, </w:t>
      </w:r>
      <w:r>
        <w:t xml:space="preserve">or a </w:t>
      </w:r>
      <w:r w:rsidRPr="00A56B27">
        <w:t>Bureau of Indian Education (BIE)</w:t>
      </w:r>
      <w:r>
        <w:t xml:space="preserve"> </w:t>
      </w:r>
      <w:r w:rsidRPr="00A56B27">
        <w:t xml:space="preserve">funded school, </w:t>
      </w:r>
      <w:r w:rsidRPr="003E5EB2">
        <w:t>the eligible partnership should</w:t>
      </w:r>
      <w:r>
        <w:t xml:space="preserve"> include in its application documentation that supports the conclusion that the level of its students’ family poverty is comparable to 20 percent of, or at least 10,000 children from low income families. The Department will review these submissions on a case-by-case basis.</w:t>
      </w:r>
    </w:p>
    <w:p w14:paraId="282AE90F" w14:textId="77777777" w:rsidR="002D2274" w:rsidRPr="002D2274" w:rsidRDefault="002D2274" w:rsidP="002D2274">
      <w:pPr>
        <w:pStyle w:val="Heading2"/>
      </w:pPr>
      <w:bookmarkStart w:id="11" w:name="_Toc513617667"/>
      <w:bookmarkStart w:id="12" w:name="_Toc41670017"/>
      <w:r w:rsidRPr="002D2274">
        <w:t>Are all schools within the high-need LEA eligible to receive project services?</w:t>
      </w:r>
      <w:bookmarkEnd w:id="11"/>
      <w:bookmarkEnd w:id="12"/>
    </w:p>
    <w:p w14:paraId="113BAD82" w14:textId="513C46FD" w:rsidR="002D2274" w:rsidRDefault="00EF5AE3" w:rsidP="002D2274">
      <w:r>
        <w:t>No. Only “high-need” schools may receive project services.</w:t>
      </w:r>
      <w:r w:rsidR="00D042F0">
        <w:t xml:space="preserve"> </w:t>
      </w:r>
      <w:r w:rsidR="00D81559">
        <w:t>In addition, t</w:t>
      </w:r>
      <w:r w:rsidR="002D2274" w:rsidRPr="00C57FC8">
        <w:t>each</w:t>
      </w:r>
      <w:r w:rsidR="002D2274">
        <w:t>ing</w:t>
      </w:r>
      <w:r w:rsidR="002D2274" w:rsidRPr="00C57FC8">
        <w:t xml:space="preserve"> residency program participants must teach in a </w:t>
      </w:r>
      <w:r w:rsidR="002D2274">
        <w:t>“</w:t>
      </w:r>
      <w:r w:rsidR="002D2274" w:rsidRPr="00C57FC8">
        <w:t>high-need school</w:t>
      </w:r>
      <w:r w:rsidR="002D2274">
        <w:t>”</w:t>
      </w:r>
      <w:r w:rsidR="002D2274" w:rsidRPr="00C57FC8">
        <w:t xml:space="preserve"> </w:t>
      </w:r>
      <w:r w:rsidR="002D2274">
        <w:t xml:space="preserve">of the high-need LEA in order </w:t>
      </w:r>
      <w:r w:rsidR="002D2274" w:rsidRPr="00C57FC8">
        <w:t>to meet their service requirement.</w:t>
      </w:r>
      <w:r w:rsidR="002D2274">
        <w:t xml:space="preserve"> A high-need school, as defined in HEA section 200(11), includes elementary schools that have at least 60 percent of students eligible for free or reduced-price lunch (FRPL) and middle or high schools that have at least 45 percent of students eligible for FRPL. Alternatively, a school is considered a “high-need school” if it is ranked in the highest quartile of schools of children from low-income families. </w:t>
      </w:r>
      <w:r w:rsidR="002D2274" w:rsidRPr="00242ADE">
        <w:t>See</w:t>
      </w:r>
      <w:r w:rsidR="002D2274">
        <w:rPr>
          <w:i/>
        </w:rPr>
        <w:t xml:space="preserve"> </w:t>
      </w:r>
      <w:r w:rsidR="002D2274">
        <w:t>the definition of “high-need school” in HEA section 200(11)</w:t>
      </w:r>
      <w:r w:rsidR="00FB1B5A">
        <w:t>.</w:t>
      </w:r>
      <w:r w:rsidR="002D2274">
        <w:t xml:space="preserve"> </w:t>
      </w:r>
    </w:p>
    <w:p w14:paraId="397C0B86" w14:textId="77777777" w:rsidR="002D2274" w:rsidRPr="002D2274" w:rsidRDefault="001F42AD" w:rsidP="002D2274">
      <w:pPr>
        <w:pStyle w:val="Heading2"/>
      </w:pPr>
      <w:bookmarkStart w:id="13" w:name="_Toc513617668"/>
      <w:bookmarkStart w:id="14" w:name="_Toc41670018"/>
      <w:r>
        <w:t>Is there a specific definition for “high percentage” that needs to be used for</w:t>
      </w:r>
      <w:r w:rsidR="002D2274" w:rsidRPr="002D2274">
        <w:t xml:space="preserve"> teachers</w:t>
      </w:r>
      <w:r>
        <w:t xml:space="preserve"> who are</w:t>
      </w:r>
      <w:r w:rsidR="002D2274" w:rsidRPr="002D2274">
        <w:t xml:space="preserve"> not teaching in the academic subject areas or grade levels in which the teachers were trained to teach,</w:t>
      </w:r>
      <w:r w:rsidR="002D2274" w:rsidRPr="002D2274" w:rsidDel="00AE5376">
        <w:t xml:space="preserve"> </w:t>
      </w:r>
      <w:r w:rsidR="002D2274" w:rsidRPr="002D2274">
        <w:t>a high teacher turnover rate</w:t>
      </w:r>
      <w:r w:rsidR="00AE5376">
        <w:t>,</w:t>
      </w:r>
      <w:r w:rsidR="002D2274" w:rsidRPr="002D2274">
        <w:t xml:space="preserve"> or a high percentage of teachers with emergency, provisional, or temporary certification or licensure?</w:t>
      </w:r>
      <w:bookmarkEnd w:id="13"/>
      <w:bookmarkEnd w:id="14"/>
    </w:p>
    <w:p w14:paraId="66D2EF77" w14:textId="77777777" w:rsidR="002D2274" w:rsidRDefault="002D2274" w:rsidP="002D2274">
      <w:r>
        <w:t xml:space="preserve">The Department </w:t>
      </w:r>
      <w:r w:rsidR="00186E2C">
        <w:t>does not</w:t>
      </w:r>
      <w:r>
        <w:t xml:space="preserve"> set threshold of what constitutes a </w:t>
      </w:r>
      <w:r w:rsidRPr="00A43EA7">
        <w:t>high percentage of teachers not teaching in the academic subject areas or grade levels in which the teachers were trained to teach,</w:t>
      </w:r>
      <w:r w:rsidRPr="00A43EA7" w:rsidDel="00AE5376">
        <w:t xml:space="preserve"> </w:t>
      </w:r>
      <w:r w:rsidRPr="00A43EA7">
        <w:t>a high teacher turnover rate</w:t>
      </w:r>
      <w:r w:rsidR="00AE5376">
        <w:t>,</w:t>
      </w:r>
      <w:r w:rsidRPr="00A43EA7">
        <w:t xml:space="preserve"> or a high percentage of teachers with emergency, provisional, or temporary certification or licensure</w:t>
      </w:r>
      <w:r>
        <w:t>. Therefore, eligible applicants should include in their application</w:t>
      </w:r>
      <w:r w:rsidR="00AE5376">
        <w:t>s</w:t>
      </w:r>
      <w:r>
        <w:t xml:space="preserve"> documentation to support the conclusion that any LEA they would identify as a high-need LEA has one of these teacher-need characteristics. The Department will review these submissions on a case-by-case basis.</w:t>
      </w:r>
    </w:p>
    <w:p w14:paraId="453995A0" w14:textId="77777777" w:rsidR="002D2274" w:rsidRPr="002D2274" w:rsidRDefault="002D2274" w:rsidP="002D2274">
      <w:pPr>
        <w:pStyle w:val="Heading2"/>
      </w:pPr>
      <w:bookmarkStart w:id="15" w:name="Question23"/>
      <w:bookmarkStart w:id="16" w:name="_Toc513617669"/>
      <w:bookmarkStart w:id="17" w:name="_Toc41670019"/>
      <w:bookmarkEnd w:id="15"/>
      <w:r w:rsidRPr="002D2274">
        <w:t>Is a charter school eligible to be a member of an eligible partnership?</w:t>
      </w:r>
      <w:bookmarkEnd w:id="16"/>
      <w:bookmarkEnd w:id="17"/>
    </w:p>
    <w:p w14:paraId="4D2DFC75" w14:textId="77777777" w:rsidR="002D2274" w:rsidRDefault="002D2274" w:rsidP="002D2274">
      <w:r>
        <w:t>Yes. A charter school may be eligible in one of two ways. First, a charter school is eligible as a required member of the eligible partnership under HEA section 200(6)(A) if it: (1) I</w:t>
      </w:r>
      <w:r w:rsidRPr="00C57FC8">
        <w:t>s considered</w:t>
      </w:r>
      <w:r>
        <w:t xml:space="preserve"> an LEA </w:t>
      </w:r>
      <w:r w:rsidRPr="00C57FC8">
        <w:t>by the State in which it is located</w:t>
      </w:r>
      <w:r>
        <w:t>; and (2)</w:t>
      </w:r>
      <w:r w:rsidRPr="00C57FC8">
        <w:t xml:space="preserve"> meets the </w:t>
      </w:r>
      <w:r>
        <w:t xml:space="preserve">definition </w:t>
      </w:r>
      <w:r w:rsidRPr="00C57FC8">
        <w:t>of a high-need LEA</w:t>
      </w:r>
      <w:r>
        <w:t xml:space="preserve"> </w:t>
      </w:r>
      <w:r w:rsidRPr="00C57FC8">
        <w:t xml:space="preserve">in </w:t>
      </w:r>
      <w:r>
        <w:t>HEA section</w:t>
      </w:r>
      <w:r w:rsidRPr="00C57FC8">
        <w:t xml:space="preserve"> 200(1</w:t>
      </w:r>
      <w:r>
        <w:t xml:space="preserve">0). Second, a charter school may be an optional member of the eligible partnership under HEA section 200(6)(B)(x), provided it meets the definition of a high-need school in HEA section 200(11). </w:t>
      </w:r>
    </w:p>
    <w:p w14:paraId="783AEC77" w14:textId="77777777" w:rsidR="002D2274" w:rsidRPr="00C57FC8" w:rsidRDefault="002D2274" w:rsidP="002D2274">
      <w:r>
        <w:t xml:space="preserve">If a charter school is considered an LEA in the State in which it is located, </w:t>
      </w:r>
      <w:r w:rsidR="00483F2C">
        <w:t>the Department</w:t>
      </w:r>
      <w:r>
        <w:t xml:space="preserve"> strongly recommend</w:t>
      </w:r>
      <w:r w:rsidR="00483F2C">
        <w:t>s</w:t>
      </w:r>
      <w:r>
        <w:t xml:space="preserve"> the </w:t>
      </w:r>
      <w:r w:rsidR="00C4718D">
        <w:t>applicant</w:t>
      </w:r>
      <w:r>
        <w:t xml:space="preserve"> submit documentation that supp</w:t>
      </w:r>
      <w:r w:rsidR="00C4718D">
        <w:t>orts that the State considers the charter school</w:t>
      </w:r>
      <w:r>
        <w:t xml:space="preserve"> an LEA.</w:t>
      </w:r>
    </w:p>
    <w:p w14:paraId="078E9AE1" w14:textId="77777777" w:rsidR="002D2274" w:rsidRPr="00C57FC8" w:rsidRDefault="00813CE5" w:rsidP="002D2274">
      <w:pPr>
        <w:pStyle w:val="Heading2"/>
      </w:pPr>
      <w:bookmarkStart w:id="18" w:name="_Toc513617670"/>
      <w:bookmarkStart w:id="19" w:name="_Toc41670020"/>
      <w:r>
        <w:t xml:space="preserve">May an individual member </w:t>
      </w:r>
      <w:r w:rsidR="00483F2C">
        <w:t xml:space="preserve">of an eligible partnership </w:t>
      </w:r>
      <w:r w:rsidR="002D2274" w:rsidRPr="00C57FC8">
        <w:t>be a partner in more than one application?</w:t>
      </w:r>
      <w:bookmarkEnd w:id="18"/>
      <w:bookmarkEnd w:id="19"/>
      <w:r w:rsidR="002D2274" w:rsidRPr="00C57FC8">
        <w:t xml:space="preserve"> </w:t>
      </w:r>
    </w:p>
    <w:p w14:paraId="04D850C8" w14:textId="52E20735" w:rsidR="002D2274" w:rsidRDefault="002D2274" w:rsidP="002D2274">
      <w:r w:rsidRPr="00C57FC8">
        <w:lastRenderedPageBreak/>
        <w:t>Yes.</w:t>
      </w:r>
      <w:r>
        <w:t xml:space="preserve"> </w:t>
      </w:r>
      <w:r w:rsidR="00813CE5">
        <w:t xml:space="preserve">An individual </w:t>
      </w:r>
      <w:r w:rsidR="001F42AD">
        <w:t xml:space="preserve">entity </w:t>
      </w:r>
      <w:r w:rsidRPr="00C57FC8">
        <w:t xml:space="preserve">may </w:t>
      </w:r>
      <w:r w:rsidR="00C90904">
        <w:t>be a member of</w:t>
      </w:r>
      <w:r w:rsidRPr="00C57FC8">
        <w:t xml:space="preserve"> more than one TQP grant</w:t>
      </w:r>
      <w:r w:rsidR="001F42AD">
        <w:t xml:space="preserve"> application but a</w:t>
      </w:r>
      <w:r>
        <w:t>n eligible partnership may not receive a TQP grant more than once in a five-year period (see HEA section 203(a)(2))</w:t>
      </w:r>
      <w:r w:rsidR="009A33D5">
        <w:t>.</w:t>
      </w:r>
      <w:r>
        <w:t xml:space="preserve"> </w:t>
      </w:r>
      <w:r w:rsidR="009A33D5">
        <w:t>T</w:t>
      </w:r>
      <w:r>
        <w:t xml:space="preserve">he partnership </w:t>
      </w:r>
      <w:r w:rsidRPr="00813CE5">
        <w:rPr>
          <w:i/>
        </w:rPr>
        <w:t>as a whole</w:t>
      </w:r>
      <w:r>
        <w:t xml:space="preserve"> </w:t>
      </w:r>
      <w:r w:rsidR="00813CE5">
        <w:t>can</w:t>
      </w:r>
      <w:r>
        <w:t xml:space="preserve"> only </w:t>
      </w:r>
      <w:r w:rsidR="00813CE5">
        <w:t>be awarded one TQP grant</w:t>
      </w:r>
      <w:r w:rsidR="00EA218B">
        <w:t xml:space="preserve"> within a five-year period</w:t>
      </w:r>
      <w:r w:rsidR="00813CE5">
        <w:t xml:space="preserve">. </w:t>
      </w:r>
      <w:r w:rsidR="00C90904">
        <w:t>Therefore, e</w:t>
      </w:r>
      <w:r w:rsidR="00813CE5">
        <w:t>ligible partnerships awarded a grant during the</w:t>
      </w:r>
      <w:r>
        <w:t xml:space="preserve"> FY 2016,  FY 2018</w:t>
      </w:r>
      <w:r w:rsidR="00705AB7">
        <w:t xml:space="preserve"> or FY 2019</w:t>
      </w:r>
      <w:r>
        <w:t xml:space="preserve"> TQP competitions</w:t>
      </w:r>
      <w:r w:rsidR="00813CE5">
        <w:t xml:space="preserve"> are ineligible to receive a new grant</w:t>
      </w:r>
      <w:r>
        <w:t xml:space="preserve"> as those TQP grants were awarded less than five years ago.</w:t>
      </w:r>
      <w:r w:rsidR="00365E68">
        <w:t xml:space="preserve"> However, individual entities may be a member of more than one partnership simultaneously.</w:t>
      </w:r>
    </w:p>
    <w:p w14:paraId="799FAE1E" w14:textId="418054C7" w:rsidR="002D2274" w:rsidRPr="002D2274" w:rsidRDefault="00B94D36" w:rsidP="002D2274">
      <w:pPr>
        <w:pStyle w:val="Heading2"/>
      </w:pPr>
      <w:bookmarkStart w:id="20" w:name="_Toc513617671"/>
      <w:bookmarkStart w:id="21" w:name="_Toc41670021"/>
      <w:r w:rsidRPr="002D2274">
        <w:t>May FY</w:t>
      </w:r>
      <w:r w:rsidR="002D2274" w:rsidRPr="002D2274">
        <w:t xml:space="preserve"> </w:t>
      </w:r>
      <w:r w:rsidR="00A474F3" w:rsidRPr="002D2274">
        <w:t>2016</w:t>
      </w:r>
      <w:r w:rsidR="00D801D0">
        <w:t>,</w:t>
      </w:r>
      <w:r w:rsidR="00A474F3" w:rsidRPr="002D2274">
        <w:t xml:space="preserve"> </w:t>
      </w:r>
      <w:r w:rsidR="002D2274" w:rsidRPr="002D2274">
        <w:t>FY 2018</w:t>
      </w:r>
      <w:r w:rsidR="00580903">
        <w:t>,</w:t>
      </w:r>
      <w:r w:rsidR="00B81E15">
        <w:t xml:space="preserve"> or FY 2019</w:t>
      </w:r>
      <w:r w:rsidR="002D2274" w:rsidRPr="002D2274">
        <w:t xml:space="preserve"> TQP eligible partnership grantees </w:t>
      </w:r>
      <w:r w:rsidR="00EA218B">
        <w:t>receive a FY 20</w:t>
      </w:r>
      <w:r w:rsidR="00C92BE4">
        <w:t>20</w:t>
      </w:r>
      <w:r w:rsidR="00EA218B">
        <w:t xml:space="preserve"> TQP grant</w:t>
      </w:r>
      <w:r w:rsidR="002D2274" w:rsidRPr="002D2274">
        <w:t>?</w:t>
      </w:r>
      <w:bookmarkEnd w:id="20"/>
      <w:bookmarkEnd w:id="21"/>
    </w:p>
    <w:p w14:paraId="7DE7AE34" w14:textId="52D9E844" w:rsidR="00E949AE" w:rsidRDefault="002D2274" w:rsidP="00E949AE">
      <w:r w:rsidRPr="00C57FC8">
        <w:t>No.</w:t>
      </w:r>
      <w:r>
        <w:t xml:space="preserve"> HEA section</w:t>
      </w:r>
      <w:r w:rsidRPr="00C57FC8">
        <w:t xml:space="preserve"> 203(a)(2) prohibits an </w:t>
      </w:r>
      <w:r w:rsidRPr="00402FA0">
        <w:rPr>
          <w:i/>
        </w:rPr>
        <w:t>eligible partnership</w:t>
      </w:r>
      <w:r w:rsidRPr="00C57FC8">
        <w:t xml:space="preserve"> from receiving more than one TQP </w:t>
      </w:r>
      <w:r w:rsidR="0034481D">
        <w:t xml:space="preserve">grant </w:t>
      </w:r>
      <w:r w:rsidRPr="00C57FC8">
        <w:t>award during a five-year period</w:t>
      </w:r>
      <w:r w:rsidR="00483F2C">
        <w:t>.</w:t>
      </w:r>
      <w:r w:rsidR="000920E1">
        <w:t xml:space="preserve"> </w:t>
      </w:r>
      <w:r w:rsidR="00483F2C">
        <w:t>T</w:t>
      </w:r>
      <w:r w:rsidR="000920E1">
        <w:t xml:space="preserve">he </w:t>
      </w:r>
      <w:r w:rsidR="00D801D0">
        <w:t>FY 2016</w:t>
      </w:r>
      <w:r w:rsidR="002A24EC">
        <w:t>,</w:t>
      </w:r>
      <w:r w:rsidR="00AF6C6E">
        <w:t xml:space="preserve"> </w:t>
      </w:r>
      <w:r w:rsidR="000920E1" w:rsidRPr="000920E1">
        <w:t>FY 2018</w:t>
      </w:r>
      <w:r w:rsidR="00AF6C6E">
        <w:t>,</w:t>
      </w:r>
      <w:r w:rsidR="000920E1" w:rsidRPr="000920E1">
        <w:t xml:space="preserve"> </w:t>
      </w:r>
      <w:r w:rsidR="002A24EC">
        <w:t xml:space="preserve">or FY 2019 </w:t>
      </w:r>
      <w:r w:rsidR="000920E1">
        <w:t>TQP grants were awarded less than five years ago</w:t>
      </w:r>
      <w:r w:rsidRPr="00C57FC8">
        <w:t>.</w:t>
      </w:r>
      <w:r w:rsidR="0034481D">
        <w:t xml:space="preserve"> As noted in Question 10, </w:t>
      </w:r>
      <w:r w:rsidR="0034481D" w:rsidRPr="0034481D">
        <w:rPr>
          <w:i/>
        </w:rPr>
        <w:t xml:space="preserve">individual members </w:t>
      </w:r>
      <w:r w:rsidR="00483F2C">
        <w:t xml:space="preserve">of eligible partnerships that received awards </w:t>
      </w:r>
      <w:r w:rsidR="0034481D" w:rsidRPr="00903E92">
        <w:t xml:space="preserve">in the </w:t>
      </w:r>
      <w:r w:rsidR="0034481D">
        <w:t>FY 2016, FY 2018</w:t>
      </w:r>
      <w:r w:rsidR="002A24EC">
        <w:t xml:space="preserve"> or FY 2019</w:t>
      </w:r>
      <w:r w:rsidR="0034481D" w:rsidRPr="00903E92">
        <w:t xml:space="preserve"> TQP </w:t>
      </w:r>
      <w:r w:rsidR="0034481D">
        <w:t xml:space="preserve">grant </w:t>
      </w:r>
      <w:r w:rsidR="0034481D" w:rsidRPr="00903E92">
        <w:t>competition</w:t>
      </w:r>
      <w:r w:rsidR="0034481D">
        <w:t>s</w:t>
      </w:r>
      <w:r w:rsidR="0034481D" w:rsidRPr="00903E92">
        <w:t xml:space="preserve"> are eligible to apply in this competition so long as they apply as members of a different </w:t>
      </w:r>
      <w:r w:rsidR="0034481D">
        <w:t xml:space="preserve">eligible </w:t>
      </w:r>
      <w:r w:rsidR="0034481D" w:rsidRPr="00903E92">
        <w:t xml:space="preserve">partnership than the one that received an award </w:t>
      </w:r>
      <w:r w:rsidR="0034481D">
        <w:t>in the last five years and demonstrate their need for the additional TQP grant consistent with HEA section 203(a)(2)</w:t>
      </w:r>
      <w:r w:rsidR="0034481D" w:rsidRPr="00903E92">
        <w:t>.</w:t>
      </w:r>
    </w:p>
    <w:p w14:paraId="1994BC95" w14:textId="16D4B2F2" w:rsidR="00854DEB" w:rsidRDefault="00854DEB" w:rsidP="00E949AE">
      <w:r>
        <w:t xml:space="preserve">In addition, the FY 2020 competition includes Competitive </w:t>
      </w:r>
      <w:r w:rsidR="00446C58">
        <w:t>Preference</w:t>
      </w:r>
      <w:r>
        <w:t xml:space="preserve"> Priority #2—Applications from New Potential Grantees. </w:t>
      </w:r>
      <w:r w:rsidR="004E5ABA">
        <w:t>Applicants</w:t>
      </w:r>
      <w:r>
        <w:t xml:space="preserve"> that have never received a </w:t>
      </w:r>
      <w:r w:rsidR="004E5ABA">
        <w:t xml:space="preserve">TQP </w:t>
      </w:r>
      <w:r>
        <w:t xml:space="preserve">grant, </w:t>
      </w:r>
      <w:r w:rsidRPr="00854DEB">
        <w:t>including through membership in a group application submitted in accordance with 34 CFR 75.127-75.129</w:t>
      </w:r>
      <w:r w:rsidR="00446C58">
        <w:t xml:space="preserve"> (i.e. if an </w:t>
      </w:r>
      <w:r w:rsidR="004E5ABA">
        <w:t>applicant</w:t>
      </w:r>
      <w:r w:rsidR="00446C58">
        <w:t xml:space="preserve"> was part of a TQP eligible partnership previously)</w:t>
      </w:r>
      <w:r>
        <w:t>, may receive 3 additional competitive preference points</w:t>
      </w:r>
      <w:r w:rsidR="004E5ABA">
        <w:t xml:space="preserve"> in the FY 2020 competition.</w:t>
      </w:r>
    </w:p>
    <w:p w14:paraId="3C130417" w14:textId="1C620431" w:rsidR="002D2274" w:rsidRDefault="002D2274" w:rsidP="002D2274">
      <w:pPr>
        <w:pStyle w:val="Heading2"/>
      </w:pPr>
      <w:bookmarkStart w:id="22" w:name="_Toc41670022"/>
      <w:r w:rsidRPr="002D2274">
        <w:t>How may</w:t>
      </w:r>
      <w:r w:rsidR="00140F89">
        <w:t xml:space="preserve"> a current TQP grantee be eligible </w:t>
      </w:r>
      <w:r w:rsidRPr="002D2274">
        <w:t xml:space="preserve">to participate in the FY </w:t>
      </w:r>
      <w:r w:rsidR="0000759A">
        <w:t>20</w:t>
      </w:r>
      <w:r w:rsidR="00B81E15">
        <w:t>20</w:t>
      </w:r>
      <w:r w:rsidRPr="002D2274">
        <w:t xml:space="preserve"> TQP competition?</w:t>
      </w:r>
      <w:bookmarkEnd w:id="22"/>
    </w:p>
    <w:p w14:paraId="708F63D7" w14:textId="40D63B0B" w:rsidR="009A390F" w:rsidRPr="00AB6286" w:rsidRDefault="00D801D0" w:rsidP="00AB6286">
      <w:r>
        <w:t xml:space="preserve">In order to </w:t>
      </w:r>
      <w:r w:rsidR="00C862F8">
        <w:t xml:space="preserve">be eligible to </w:t>
      </w:r>
      <w:r>
        <w:t>receive a FY 20</w:t>
      </w:r>
      <w:r w:rsidR="00B81E15">
        <w:t>20</w:t>
      </w:r>
      <w:r>
        <w:t xml:space="preserve"> TQP</w:t>
      </w:r>
      <w:r w:rsidR="000D4B6D">
        <w:t xml:space="preserve"> grant</w:t>
      </w:r>
      <w:r>
        <w:t>, individual members</w:t>
      </w:r>
      <w:r w:rsidR="006B662D">
        <w:t xml:space="preserve"> of an eligible partnership awarded a grant less than five years ago</w:t>
      </w:r>
      <w:r>
        <w:t xml:space="preserve"> </w:t>
      </w:r>
      <w:r w:rsidR="001B01FF">
        <w:t xml:space="preserve">must </w:t>
      </w:r>
      <w:r>
        <w:t xml:space="preserve">find all-new partners to form </w:t>
      </w:r>
      <w:r w:rsidR="0040509E">
        <w:t>a new</w:t>
      </w:r>
      <w:r>
        <w:t xml:space="preserve"> eligible partnership (i.e. </w:t>
      </w:r>
      <w:r w:rsidR="00080ECD">
        <w:t xml:space="preserve">new </w:t>
      </w:r>
      <w:r>
        <w:t xml:space="preserve">partners that are not partners in their </w:t>
      </w:r>
      <w:r w:rsidR="00473ADF">
        <w:t>current</w:t>
      </w:r>
      <w:r>
        <w:t>, FY 2016</w:t>
      </w:r>
      <w:r w:rsidR="00B81E15">
        <w:t>,</w:t>
      </w:r>
      <w:r w:rsidR="00DE707E">
        <w:t xml:space="preserve"> </w:t>
      </w:r>
      <w:r w:rsidRPr="000920E1">
        <w:t>FY 2018</w:t>
      </w:r>
      <w:r w:rsidR="00B81E15">
        <w:t xml:space="preserve"> or FY 2019</w:t>
      </w:r>
      <w:r w:rsidRPr="000920E1">
        <w:t xml:space="preserve"> </w:t>
      </w:r>
      <w:r>
        <w:t>TQP grant)</w:t>
      </w:r>
      <w:r w:rsidR="0040509E">
        <w:t>.</w:t>
      </w:r>
      <w:r w:rsidR="00016E78">
        <w:t xml:space="preserve"> See HEA section 203(a)(2).</w:t>
      </w:r>
      <w:r w:rsidR="001F42AD" w:rsidRPr="001F42AD">
        <w:t xml:space="preserve"> </w:t>
      </w:r>
      <w:r w:rsidR="00715CFA">
        <w:t>In addition, a</w:t>
      </w:r>
      <w:r w:rsidR="00244A60">
        <w:t xml:space="preserve">pplicants </w:t>
      </w:r>
      <w:r w:rsidR="001F42AD" w:rsidRPr="001F42AD">
        <w:t xml:space="preserve">may not propose </w:t>
      </w:r>
      <w:r w:rsidR="001849AC">
        <w:t>projects that provide the same</w:t>
      </w:r>
      <w:r w:rsidR="001F42AD" w:rsidRPr="001F42AD">
        <w:t xml:space="preserve"> services </w:t>
      </w:r>
      <w:r w:rsidR="001849AC">
        <w:t>to the same recipients as those</w:t>
      </w:r>
      <w:r w:rsidR="001F42AD" w:rsidRPr="001F42AD">
        <w:t xml:space="preserve"> </w:t>
      </w:r>
      <w:r w:rsidR="00244A60">
        <w:t>in</w:t>
      </w:r>
      <w:r w:rsidR="001F42AD" w:rsidRPr="001F42AD">
        <w:t xml:space="preserve"> their existing TQP grants.</w:t>
      </w:r>
    </w:p>
    <w:p w14:paraId="0C7A8C38" w14:textId="77777777" w:rsidR="00823B82" w:rsidRDefault="00823B82" w:rsidP="00823B82">
      <w:pPr>
        <w:pStyle w:val="Heading2"/>
      </w:pPr>
      <w:bookmarkStart w:id="23" w:name="_Toc41670023"/>
      <w:r>
        <w:t>How does an individual member</w:t>
      </w:r>
      <w:r w:rsidR="002D1367">
        <w:t xml:space="preserve"> of </w:t>
      </w:r>
      <w:r w:rsidR="009A33D5">
        <w:t xml:space="preserve">an </w:t>
      </w:r>
      <w:r w:rsidR="002D1367">
        <w:t xml:space="preserve">existing eligible partnership </w:t>
      </w:r>
      <w:r>
        <w:t>demonstrate the need for another TQP grant?</w:t>
      </w:r>
      <w:bookmarkEnd w:id="23"/>
    </w:p>
    <w:p w14:paraId="5461F312" w14:textId="77777777" w:rsidR="00823B82" w:rsidRDefault="00823B82" w:rsidP="00D801D0">
      <w:r>
        <w:t xml:space="preserve">HEA section 203(a)(2) does not define how </w:t>
      </w:r>
      <w:r w:rsidRPr="00823B82">
        <w:t>an individual member</w:t>
      </w:r>
      <w:r w:rsidR="005A3C02">
        <w:t xml:space="preserve"> should</w:t>
      </w:r>
      <w:r w:rsidRPr="00823B82">
        <w:t xml:space="preserve"> demonstrate the need for another TQP grant</w:t>
      </w:r>
      <w:r>
        <w:t xml:space="preserve">. </w:t>
      </w:r>
      <w:r w:rsidR="005A3C02">
        <w:t>Therefore, applicants should use their best judgment in describing why an additional TQP grant is needed. Applications that do not demonstrate the need for an additional TQP grant, consistent with HEA section 203(a)(2), may not be reviewed.</w:t>
      </w:r>
    </w:p>
    <w:p w14:paraId="4CB6D241" w14:textId="77777777" w:rsidR="002D2274" w:rsidRPr="002D2274" w:rsidRDefault="002D2274" w:rsidP="002D2274">
      <w:pPr>
        <w:pStyle w:val="Heading2"/>
      </w:pPr>
      <w:bookmarkStart w:id="24" w:name="_Toc513617672"/>
      <w:bookmarkStart w:id="25" w:name="_Toc41670024"/>
      <w:r w:rsidRPr="002D2274">
        <w:t>Who may be the fiscal agent or lead applicant for the grant?</w:t>
      </w:r>
      <w:bookmarkEnd w:id="24"/>
      <w:bookmarkEnd w:id="25"/>
    </w:p>
    <w:p w14:paraId="7A64754C" w14:textId="443B53C5" w:rsidR="00C92BE4" w:rsidRDefault="002D2274" w:rsidP="002D2274">
      <w:r w:rsidRPr="00C57FC8">
        <w:t>The fiscal agent</w:t>
      </w:r>
      <w:r>
        <w:t xml:space="preserve"> or lead applicant</w:t>
      </w:r>
      <w:r w:rsidRPr="00C57FC8">
        <w:t xml:space="preserve"> may be any member of the eligible partnership.</w:t>
      </w:r>
      <w:r>
        <w:t xml:space="preserve"> </w:t>
      </w:r>
      <w:r w:rsidRPr="00C57FC8">
        <w:t xml:space="preserve">The eligible partnership </w:t>
      </w:r>
      <w:r>
        <w:t xml:space="preserve">should </w:t>
      </w:r>
      <w:r w:rsidRPr="00C57FC8">
        <w:t>decide which partner will be the fiscal agent</w:t>
      </w:r>
      <w:r w:rsidR="00753192">
        <w:t xml:space="preserve"> and lead applicant,</w:t>
      </w:r>
      <w:r>
        <w:t xml:space="preserve"> identify this partner in its application</w:t>
      </w:r>
      <w:r w:rsidR="00753192">
        <w:t>, and enter into an agreement that d</w:t>
      </w:r>
      <w:r w:rsidR="00753192" w:rsidRPr="00753192">
        <w:t>etails the activities that each member of the group plans to perform</w:t>
      </w:r>
      <w:r w:rsidR="00753192">
        <w:t xml:space="preserve"> and b</w:t>
      </w:r>
      <w:r w:rsidR="00753192" w:rsidRPr="00753192">
        <w:t>inds each member of the group to every statement and assurance made by the applicant in the application</w:t>
      </w:r>
      <w:r w:rsidRPr="00C57FC8">
        <w:t>.</w:t>
      </w:r>
      <w:r>
        <w:t xml:space="preserve"> See 34 CFR </w:t>
      </w:r>
      <w:r w:rsidRPr="00EA09C4">
        <w:t>§§</w:t>
      </w:r>
      <w:r>
        <w:t>75.127-129, “Group Applications,” for more information.</w:t>
      </w:r>
    </w:p>
    <w:p w14:paraId="2FADECAD" w14:textId="77777777" w:rsidR="002D2274" w:rsidRDefault="002D2274" w:rsidP="002D2274">
      <w:pPr>
        <w:pStyle w:val="Heading1"/>
      </w:pPr>
      <w:bookmarkStart w:id="26" w:name="_Toc513617678"/>
      <w:bookmarkStart w:id="27" w:name="_Toc41670025"/>
      <w:r>
        <w:t>Competitive Preference Priorities (CPP) Questions</w:t>
      </w:r>
      <w:bookmarkEnd w:id="26"/>
      <w:bookmarkEnd w:id="27"/>
    </w:p>
    <w:p w14:paraId="3E5D7174" w14:textId="77777777" w:rsidR="002D2274" w:rsidRPr="002D2274" w:rsidRDefault="002D2274" w:rsidP="002D2274">
      <w:pPr>
        <w:pStyle w:val="Heading2"/>
      </w:pPr>
      <w:bookmarkStart w:id="28" w:name="_Toc513617679"/>
      <w:bookmarkStart w:id="29" w:name="_Toc41670026"/>
      <w:r w:rsidRPr="002D2274">
        <w:t>Should I address the CPPs in the application narrative, or in some other part of the application?</w:t>
      </w:r>
      <w:bookmarkEnd w:id="28"/>
      <w:bookmarkEnd w:id="29"/>
    </w:p>
    <w:p w14:paraId="21D6495B" w14:textId="77777777" w:rsidR="002D2274" w:rsidRDefault="002D2274" w:rsidP="002D2274">
      <w:r>
        <w:t>Applicants are strongly encouraged to clearly state in the Application Abstract which CPP(s) they intend to address.</w:t>
      </w:r>
      <w:r w:rsidR="00D042F0">
        <w:t xml:space="preserve"> </w:t>
      </w:r>
      <w:r>
        <w:t>Applicants are also strongly encouraged to include the</w:t>
      </w:r>
      <w:r w:rsidR="00473ADF">
        <w:t>ir</w:t>
      </w:r>
      <w:r>
        <w:t xml:space="preserve"> </w:t>
      </w:r>
      <w:r w:rsidR="00473ADF">
        <w:t xml:space="preserve">CPP response </w:t>
      </w:r>
      <w:r>
        <w:t xml:space="preserve">location in the Table </w:t>
      </w:r>
      <w:r>
        <w:lastRenderedPageBreak/>
        <w:t xml:space="preserve">of Contents </w:t>
      </w:r>
      <w:r w:rsidR="00DB185A">
        <w:t xml:space="preserve">(TOC) </w:t>
      </w:r>
      <w:r>
        <w:t xml:space="preserve">of the application. An applicant’s response to the CPP should be a separate response within the application narrative and labeled accordingly. Applicants that do not explicitly state which CPP(s) they are addressing </w:t>
      </w:r>
      <w:r w:rsidR="00A90372">
        <w:t xml:space="preserve">might </w:t>
      </w:r>
      <w:r>
        <w:t>not receive additional points.</w:t>
      </w:r>
    </w:p>
    <w:p w14:paraId="065B514D" w14:textId="3E124B22" w:rsidR="00DB5CC5" w:rsidRPr="00E22648" w:rsidRDefault="00DB5CC5" w:rsidP="00AB6286">
      <w:pPr>
        <w:pStyle w:val="Heading2"/>
      </w:pPr>
      <w:bookmarkStart w:id="30" w:name="_Toc473899542"/>
      <w:bookmarkStart w:id="31" w:name="_Toc474579287"/>
      <w:bookmarkStart w:id="32" w:name="_Toc474243017"/>
      <w:bookmarkStart w:id="33" w:name="_Toc38027592"/>
      <w:bookmarkStart w:id="34" w:name="_Toc41670027"/>
      <w:bookmarkStart w:id="35" w:name="_Hlk38005740"/>
      <w:r w:rsidRPr="00AB6286">
        <w:t xml:space="preserve">How could an applicant address Competitive Preference Priority </w:t>
      </w:r>
      <w:r w:rsidRPr="003A31D2">
        <w:t>1</w:t>
      </w:r>
      <w:r w:rsidR="001D01CD" w:rsidRPr="00E91995">
        <w:t>,</w:t>
      </w:r>
      <w:r w:rsidRPr="00E91995">
        <w:t xml:space="preserve"> and how are points assigned</w:t>
      </w:r>
      <w:r w:rsidRPr="00D62502">
        <w:t>?</w:t>
      </w:r>
      <w:bookmarkEnd w:id="30"/>
      <w:bookmarkEnd w:id="31"/>
      <w:bookmarkEnd w:id="32"/>
      <w:bookmarkEnd w:id="33"/>
      <w:bookmarkEnd w:id="34"/>
      <w:r w:rsidRPr="00E22648">
        <w:t xml:space="preserve"> </w:t>
      </w:r>
    </w:p>
    <w:p w14:paraId="784AA74C" w14:textId="105C0B1C" w:rsidR="00DB5CC5" w:rsidRPr="00DB5CC5" w:rsidRDefault="00DB5CC5" w:rsidP="00DB5CC5">
      <w:pPr>
        <w:autoSpaceDE w:val="0"/>
        <w:autoSpaceDN w:val="0"/>
        <w:adjustRightInd w:val="0"/>
        <w:spacing w:after="0"/>
        <w:rPr>
          <w:rFonts w:eastAsia="Calibri" w:cstheme="minorHAnsi"/>
          <w:sz w:val="20"/>
          <w:szCs w:val="20"/>
        </w:rPr>
      </w:pPr>
      <w:bookmarkStart w:id="36" w:name="_Hlk30694627"/>
      <w:r w:rsidRPr="00DB5CC5">
        <w:rPr>
          <w:rFonts w:cstheme="minorHAnsi"/>
        </w:rPr>
        <w:t xml:space="preserve">Public Law (P.L.) 115-97, commonly known as the Tax Cuts and Jobs Act, authorized the designation of Qualified Opportunity Zones </w:t>
      </w:r>
      <w:r w:rsidR="0055637D">
        <w:rPr>
          <w:rFonts w:cstheme="minorHAnsi"/>
        </w:rPr>
        <w:t>(</w:t>
      </w:r>
      <w:r w:rsidRPr="00DB5CC5">
        <w:rPr>
          <w:rFonts w:cstheme="minorHAnsi"/>
        </w:rPr>
        <w:t>QOZs</w:t>
      </w:r>
      <w:r w:rsidR="0055637D">
        <w:rPr>
          <w:rFonts w:cstheme="minorHAnsi"/>
        </w:rPr>
        <w:t>)</w:t>
      </w:r>
      <w:r w:rsidRPr="00DB5CC5">
        <w:rPr>
          <w:rFonts w:cstheme="minorHAnsi"/>
        </w:rPr>
        <w:t xml:space="preserve"> to promote economic development and job creation in distressed communities through preferential tax treatment for investors.  A list of QOZs is available at </w:t>
      </w:r>
      <w:hyperlink r:id="rId13" w:history="1">
        <w:r w:rsidRPr="00DB5CC5">
          <w:rPr>
            <w:rFonts w:cstheme="minorHAnsi"/>
            <w:color w:val="0000FF" w:themeColor="hyperlink"/>
            <w:u w:val="single"/>
          </w:rPr>
          <w:t>www.cdfifund.gov/Pages/Opportunity-Zones.aspx</w:t>
        </w:r>
      </w:hyperlink>
      <w:r w:rsidRPr="00DB5CC5">
        <w:rPr>
          <w:rFonts w:cstheme="minorHAnsi"/>
        </w:rPr>
        <w:t xml:space="preserve">; applicants may also determine whether a particular area overlaps with a QOZ using the National Center of Education Statistics’ map located at </w:t>
      </w:r>
      <w:hyperlink r:id="rId14" w:history="1">
        <w:r w:rsidRPr="00DB5CC5">
          <w:rPr>
            <w:rFonts w:cstheme="minorHAnsi"/>
            <w:color w:val="0000FF" w:themeColor="hyperlink"/>
            <w:u w:val="single"/>
          </w:rPr>
          <w:t>https://nces.ed.gov/programs/maped/LocaleLookup/</w:t>
        </w:r>
      </w:hyperlink>
      <w:r w:rsidRPr="00DB5CC5">
        <w:rPr>
          <w:rFonts w:cstheme="minorHAnsi"/>
        </w:rPr>
        <w:t>.</w:t>
      </w:r>
    </w:p>
    <w:p w14:paraId="630114E1" w14:textId="77777777" w:rsidR="00DB5CC5" w:rsidRPr="00DB5CC5" w:rsidRDefault="00DB5CC5" w:rsidP="00DB5CC5">
      <w:pPr>
        <w:autoSpaceDE w:val="0"/>
        <w:autoSpaceDN w:val="0"/>
        <w:adjustRightInd w:val="0"/>
        <w:spacing w:after="0"/>
        <w:ind w:firstLine="720"/>
        <w:rPr>
          <w:rFonts w:eastAsia="Calibri" w:cstheme="minorHAnsi"/>
        </w:rPr>
      </w:pPr>
    </w:p>
    <w:p w14:paraId="3B8AE8C2" w14:textId="77777777" w:rsidR="00DB5CC5" w:rsidRPr="00DB5CC5" w:rsidRDefault="00DB5CC5" w:rsidP="00DB5CC5">
      <w:pPr>
        <w:autoSpaceDE w:val="0"/>
        <w:autoSpaceDN w:val="0"/>
        <w:adjustRightInd w:val="0"/>
        <w:spacing w:after="0"/>
        <w:rPr>
          <w:rFonts w:eastAsia="Calibri" w:cstheme="minorHAnsi"/>
        </w:rPr>
      </w:pPr>
      <w:r w:rsidRPr="00DB5CC5">
        <w:rPr>
          <w:rFonts w:eastAsia="Calibri" w:cstheme="minorHAnsi"/>
        </w:rPr>
        <w:t>As stated in the NIA, an applicant must demonstrate:</w:t>
      </w:r>
    </w:p>
    <w:p w14:paraId="5B103F54" w14:textId="77777777" w:rsidR="00DB5CC5" w:rsidRPr="00E65C87" w:rsidRDefault="00DB5CC5" w:rsidP="00DB5CC5">
      <w:pPr>
        <w:autoSpaceDE w:val="0"/>
        <w:autoSpaceDN w:val="0"/>
        <w:adjustRightInd w:val="0"/>
        <w:spacing w:after="0"/>
        <w:ind w:firstLine="720"/>
        <w:rPr>
          <w:rFonts w:eastAsia="Calibri" w:cstheme="minorHAnsi"/>
        </w:rPr>
      </w:pPr>
    </w:p>
    <w:bookmarkEnd w:id="36"/>
    <w:p w14:paraId="195A6617" w14:textId="3C5B8173" w:rsidR="00DB5CC5" w:rsidRPr="00E65C87" w:rsidRDefault="00DB5CC5" w:rsidP="00AB6286">
      <w:pPr>
        <w:pStyle w:val="ListParagraph"/>
        <w:widowControl w:val="0"/>
        <w:autoSpaceDE w:val="0"/>
        <w:autoSpaceDN w:val="0"/>
        <w:adjustRightInd w:val="0"/>
        <w:spacing w:after="0"/>
        <w:rPr>
          <w:rFonts w:cstheme="minorHAnsi"/>
          <w:lang w:bidi="he-IL"/>
        </w:rPr>
      </w:pPr>
      <w:r w:rsidRPr="00E65C87">
        <w:rPr>
          <w:rFonts w:cstheme="minorHAnsi"/>
          <w:lang w:bidi="he-IL"/>
        </w:rPr>
        <w:t>The area in which the applicant proposes to provide services overlaps with a Qualified Opportunity Zone, as designated by the Secretary of the Treasury under section 1400Z-1 of the Internal Revenue Code (IRC).  An applicant must—</w:t>
      </w:r>
    </w:p>
    <w:p w14:paraId="7B7860C6" w14:textId="77777777" w:rsidR="00DB5CC5" w:rsidRPr="00E65C87" w:rsidRDefault="00DB5CC5" w:rsidP="00DB5CC5">
      <w:pPr>
        <w:pStyle w:val="ListParagraph"/>
        <w:widowControl w:val="0"/>
        <w:autoSpaceDE w:val="0"/>
        <w:autoSpaceDN w:val="0"/>
        <w:adjustRightInd w:val="0"/>
        <w:spacing w:after="0"/>
        <w:rPr>
          <w:rFonts w:cstheme="minorHAnsi"/>
          <w:lang w:bidi="he-IL"/>
        </w:rPr>
      </w:pPr>
    </w:p>
    <w:p w14:paraId="3C0B3B66" w14:textId="60247F28" w:rsidR="00DB5CC5" w:rsidRPr="00E65C87" w:rsidRDefault="00DB5CC5" w:rsidP="00AB6286">
      <w:pPr>
        <w:pStyle w:val="ListParagraph"/>
        <w:widowControl w:val="0"/>
        <w:numPr>
          <w:ilvl w:val="0"/>
          <w:numId w:val="46"/>
        </w:numPr>
        <w:tabs>
          <w:tab w:val="left" w:pos="1620"/>
        </w:tabs>
        <w:autoSpaceDE w:val="0"/>
        <w:autoSpaceDN w:val="0"/>
        <w:adjustRightInd w:val="0"/>
        <w:spacing w:after="0"/>
        <w:rPr>
          <w:rFonts w:cstheme="minorHAnsi"/>
          <w:lang w:bidi="he-IL"/>
        </w:rPr>
      </w:pPr>
      <w:r w:rsidRPr="00E65C87">
        <w:rPr>
          <w:rFonts w:cstheme="minorHAnsi"/>
          <w:lang w:bidi="he-IL"/>
        </w:rPr>
        <w:t xml:space="preserve">Provide the census tract number of the Qualified Opportunity Zone(s) in which it proposes to provide services; and </w:t>
      </w:r>
    </w:p>
    <w:p w14:paraId="15F296FE" w14:textId="6479F441" w:rsidR="00DB5CC5" w:rsidRPr="00E65C87" w:rsidRDefault="00DB5CC5" w:rsidP="00AB6286">
      <w:pPr>
        <w:pStyle w:val="ListParagraph"/>
        <w:widowControl w:val="0"/>
        <w:numPr>
          <w:ilvl w:val="0"/>
          <w:numId w:val="46"/>
        </w:numPr>
        <w:tabs>
          <w:tab w:val="left" w:pos="1620"/>
        </w:tabs>
        <w:autoSpaceDE w:val="0"/>
        <w:autoSpaceDN w:val="0"/>
        <w:adjustRightInd w:val="0"/>
        <w:spacing w:after="0"/>
        <w:rPr>
          <w:rFonts w:cstheme="minorHAnsi"/>
          <w:lang w:bidi="he-IL"/>
        </w:rPr>
      </w:pPr>
      <w:r w:rsidRPr="00E65C87">
        <w:rPr>
          <w:rFonts w:cstheme="minorHAnsi"/>
          <w:lang w:bidi="he-IL"/>
        </w:rPr>
        <w:t>Describe how the applicant will provide services in the Qualified Opportunity Zone(s).</w:t>
      </w:r>
    </w:p>
    <w:p w14:paraId="16974712" w14:textId="77777777" w:rsidR="00DB5CC5" w:rsidRPr="00E65C87" w:rsidRDefault="00DB5CC5" w:rsidP="00DB5CC5">
      <w:pPr>
        <w:widowControl w:val="0"/>
        <w:tabs>
          <w:tab w:val="left" w:pos="1620"/>
        </w:tabs>
        <w:autoSpaceDE w:val="0"/>
        <w:autoSpaceDN w:val="0"/>
        <w:adjustRightInd w:val="0"/>
        <w:spacing w:after="0"/>
        <w:ind w:left="1620" w:hanging="270"/>
        <w:contextualSpacing/>
        <w:rPr>
          <w:rFonts w:cstheme="minorHAnsi"/>
          <w:lang w:bidi="he-IL"/>
        </w:rPr>
      </w:pPr>
    </w:p>
    <w:p w14:paraId="448E4B3D" w14:textId="0BC827E6" w:rsidR="00DB5CC5" w:rsidRPr="00FB1B5A" w:rsidRDefault="00DB5CC5" w:rsidP="00DB5CC5">
      <w:pPr>
        <w:autoSpaceDE w:val="0"/>
        <w:autoSpaceDN w:val="0"/>
        <w:adjustRightInd w:val="0"/>
        <w:spacing w:after="240" w:line="23" w:lineRule="atLeast"/>
        <w:rPr>
          <w:rFonts w:cstheme="minorHAnsi"/>
        </w:rPr>
      </w:pPr>
      <w:r w:rsidRPr="00E65C87">
        <w:rPr>
          <w:rFonts w:cstheme="minorHAnsi"/>
        </w:rPr>
        <w:t>A maximum of 3 additional points may be earned by applicants that address Competitive Preference Priority 1.  Points under this Competitive Preference Priority will be assigned depending on verification that the applicant proposes to provide serv</w:t>
      </w:r>
      <w:r w:rsidRPr="00FB1B5A">
        <w:rPr>
          <w:rFonts w:cstheme="minorHAnsi"/>
        </w:rPr>
        <w:t>ices in a Qualified Opportunity Zone and the overall quality of an applicant’s response, including the applicant’s description of the services it will provide in the in the Qualified Opportunity Zone.</w:t>
      </w:r>
      <w:bookmarkEnd w:id="35"/>
    </w:p>
    <w:p w14:paraId="628A7264" w14:textId="77993DAB" w:rsidR="00CB0F0B" w:rsidRPr="007662CB" w:rsidRDefault="00CB0F0B" w:rsidP="00121C56">
      <w:pPr>
        <w:pStyle w:val="Heading2"/>
      </w:pPr>
      <w:bookmarkStart w:id="37" w:name="_Toc41670028"/>
      <w:r>
        <w:t>For CPP 1, w</w:t>
      </w:r>
      <w:r w:rsidRPr="007662CB">
        <w:t xml:space="preserve">hat does </w:t>
      </w:r>
      <w:r>
        <w:t>“</w:t>
      </w:r>
      <w:r w:rsidRPr="007662CB">
        <w:t>overlapping</w:t>
      </w:r>
      <w:r>
        <w:t>”</w:t>
      </w:r>
      <w:r w:rsidRPr="007662CB">
        <w:t xml:space="preserve"> mean?</w:t>
      </w:r>
      <w:bookmarkEnd w:id="37"/>
      <w:r w:rsidRPr="007662CB">
        <w:t xml:space="preserve">  </w:t>
      </w:r>
    </w:p>
    <w:p w14:paraId="74536255" w14:textId="3A036D28" w:rsidR="00CB0F0B" w:rsidRPr="007662CB" w:rsidRDefault="00CB0F0B" w:rsidP="00121C56">
      <w:r w:rsidRPr="007662CB">
        <w:t xml:space="preserve">The language </w:t>
      </w:r>
      <w:r>
        <w:t>in CPP 1 in the NIA states</w:t>
      </w:r>
      <w:r w:rsidRPr="007662CB">
        <w:t xml:space="preserve"> </w:t>
      </w:r>
      <w:r>
        <w:t xml:space="preserve">that the </w:t>
      </w:r>
      <w:r w:rsidRPr="007662CB">
        <w:t xml:space="preserve">“applicant must demonstrate that </w:t>
      </w:r>
      <w:r w:rsidRPr="007662CB">
        <w:rPr>
          <w:i/>
          <w:iCs/>
        </w:rPr>
        <w:t>the area in which the applicant proposes to provide services</w:t>
      </w:r>
      <w:r w:rsidRPr="007662CB">
        <w:t xml:space="preserve"> overlaps” with an </w:t>
      </w:r>
      <w:r>
        <w:t>QOZ (emphasis added)</w:t>
      </w:r>
      <w:r w:rsidRPr="007662CB">
        <w:t>. So</w:t>
      </w:r>
      <w:r>
        <w:t>,</w:t>
      </w:r>
      <w:r w:rsidRPr="007662CB">
        <w:t xml:space="preserve"> this </w:t>
      </w:r>
      <w:r>
        <w:t>means that a</w:t>
      </w:r>
      <w:r w:rsidR="00121C56">
        <w:t>n</w:t>
      </w:r>
      <w:r>
        <w:t xml:space="preserve"> LEA may demonstrate this by identifying a TQP </w:t>
      </w:r>
      <w:r w:rsidR="004F0F26">
        <w:t>high-need</w:t>
      </w:r>
      <w:r>
        <w:t xml:space="preserve"> school that is </w:t>
      </w:r>
      <w:r w:rsidRPr="00D4304F">
        <w:t xml:space="preserve">located in or that serves students in an area </w:t>
      </w:r>
      <w:r>
        <w:t>that “overlaps” with a QOZ.</w:t>
      </w:r>
    </w:p>
    <w:p w14:paraId="3DF04852" w14:textId="0DF1B445" w:rsidR="00CB0F0B" w:rsidRPr="007662CB" w:rsidRDefault="00CB0F0B" w:rsidP="00121C56">
      <w:pPr>
        <w:pStyle w:val="Heading2"/>
      </w:pPr>
      <w:r>
        <w:t xml:space="preserve"> </w:t>
      </w:r>
      <w:bookmarkStart w:id="38" w:name="_Toc41670029"/>
      <w:r w:rsidRPr="007662CB">
        <w:t>Can more than one QOZ be targeted?</w:t>
      </w:r>
      <w:bookmarkEnd w:id="38"/>
    </w:p>
    <w:p w14:paraId="46134BEE" w14:textId="3622F3C9" w:rsidR="00CB0F0B" w:rsidRDefault="00CB0F0B" w:rsidP="00121C56">
      <w:r>
        <w:t>Yes</w:t>
      </w:r>
      <w:r w:rsidRPr="007662CB">
        <w:t xml:space="preserve">. </w:t>
      </w:r>
      <w:r>
        <w:t xml:space="preserve"> The CPP on QOZs does not specify how many QOZs applicants should target.  Peer reviewers will assess how the applicant describes its proposed project and providing services in a QOZ when determining how many points the application receives for the CPP (up to </w:t>
      </w:r>
      <w:r w:rsidR="005E0B82">
        <w:t>3 additional</w:t>
      </w:r>
      <w:r>
        <w:t xml:space="preserve"> points).  </w:t>
      </w:r>
      <w:r w:rsidRPr="007662CB">
        <w:t xml:space="preserve">Applicants </w:t>
      </w:r>
      <w:r>
        <w:t xml:space="preserve">are encouraged to </w:t>
      </w:r>
      <w:r w:rsidRPr="007662CB">
        <w:t>provide detailed information in their applications about the extent of their involvement</w:t>
      </w:r>
      <w:r>
        <w:t xml:space="preserve"> or </w:t>
      </w:r>
      <w:r w:rsidRPr="007662CB">
        <w:t xml:space="preserve">overlap in a </w:t>
      </w:r>
      <w:r>
        <w:t>Q</w:t>
      </w:r>
      <w:r w:rsidRPr="007662CB">
        <w:t xml:space="preserve">OZ when responding to this priority to aid the peer reviewers in their </w:t>
      </w:r>
      <w:r>
        <w:t>assessment</w:t>
      </w:r>
      <w:r w:rsidRPr="007662CB">
        <w:t>.</w:t>
      </w:r>
    </w:p>
    <w:p w14:paraId="75EF2BDA" w14:textId="77777777" w:rsidR="00FB1B5A" w:rsidRPr="007662CB" w:rsidRDefault="00FB1B5A" w:rsidP="00121C56"/>
    <w:p w14:paraId="6D54B0A4" w14:textId="65C98025" w:rsidR="00CB0F0B" w:rsidRPr="007662CB" w:rsidRDefault="00CB0F0B" w:rsidP="00121C56">
      <w:pPr>
        <w:pStyle w:val="Heading2"/>
      </w:pPr>
      <w:bookmarkStart w:id="39" w:name="_Toc41670030"/>
      <w:r w:rsidRPr="007662CB">
        <w:t xml:space="preserve">Do all schools have to be in the QOZ </w:t>
      </w:r>
      <w:r w:rsidR="00E65C87" w:rsidRPr="007662CB">
        <w:t>to</w:t>
      </w:r>
      <w:r w:rsidRPr="007662CB">
        <w:t xml:space="preserve"> get full CPP points?</w:t>
      </w:r>
      <w:bookmarkEnd w:id="39"/>
    </w:p>
    <w:p w14:paraId="650972D8" w14:textId="3CACFB2F" w:rsidR="00CB0F0B" w:rsidRPr="007662CB" w:rsidRDefault="00CB0F0B" w:rsidP="00121C56">
      <w:r>
        <w:t xml:space="preserve">Not necessarily. </w:t>
      </w:r>
      <w:r w:rsidRPr="007662CB">
        <w:t>As noted above, the non-</w:t>
      </w:r>
      <w:r>
        <w:t>F</w:t>
      </w:r>
      <w:r w:rsidRPr="007662CB">
        <w:t>ederal peer reviewers</w:t>
      </w:r>
      <w:r>
        <w:t>, not the Department,</w:t>
      </w:r>
      <w:r w:rsidRPr="007662CB">
        <w:t xml:space="preserve"> will make a determination as to the extent to which </w:t>
      </w:r>
      <w:r>
        <w:t>a</w:t>
      </w:r>
      <w:r w:rsidRPr="007662CB">
        <w:t xml:space="preserve"> proposed project meets </w:t>
      </w:r>
      <w:r>
        <w:t xml:space="preserve">CPP 1, up to </w:t>
      </w:r>
      <w:r w:rsidR="005E0B82">
        <w:t>3</w:t>
      </w:r>
      <w:r>
        <w:t xml:space="preserve"> additional points.</w:t>
      </w:r>
    </w:p>
    <w:p w14:paraId="3687BEA2" w14:textId="479295E5" w:rsidR="00CB0F0B" w:rsidRPr="007662CB" w:rsidRDefault="00CB0F0B" w:rsidP="00121C56">
      <w:pPr>
        <w:pStyle w:val="Heading2"/>
      </w:pPr>
      <w:bookmarkStart w:id="40" w:name="_Toc41670031"/>
      <w:r w:rsidRPr="007662CB">
        <w:lastRenderedPageBreak/>
        <w:t xml:space="preserve">Does the school need to be in the </w:t>
      </w:r>
      <w:r w:rsidR="00E65C87" w:rsidRPr="007662CB">
        <w:t>QOZ,</w:t>
      </w:r>
      <w:r w:rsidRPr="007662CB">
        <w:t xml:space="preserve"> or can it exist outside the QOZ but serve students who live within it?</w:t>
      </w:r>
      <w:bookmarkEnd w:id="40"/>
    </w:p>
    <w:p w14:paraId="10A9117D" w14:textId="421B4AF2" w:rsidR="00CB0F0B" w:rsidRDefault="00CB0F0B" w:rsidP="00121C56">
      <w:r>
        <w:t xml:space="preserve">The school may exist outside the QOZ but serve students who live within it. </w:t>
      </w:r>
      <w:r w:rsidRPr="007662CB">
        <w:t xml:space="preserve">Applicants </w:t>
      </w:r>
      <w:r>
        <w:t xml:space="preserve">are encouraged to </w:t>
      </w:r>
      <w:r w:rsidRPr="007662CB">
        <w:t>provide detailed information in their applications about the extent of their involvement</w:t>
      </w:r>
      <w:r>
        <w:t xml:space="preserve"> or </w:t>
      </w:r>
      <w:r w:rsidRPr="007662CB">
        <w:t xml:space="preserve">overlap in an </w:t>
      </w:r>
      <w:r>
        <w:t>Q</w:t>
      </w:r>
      <w:r w:rsidRPr="007662CB">
        <w:t xml:space="preserve">OZ when responding to this priority to aid the peer reviewers in their </w:t>
      </w:r>
      <w:r>
        <w:t>assessment</w:t>
      </w:r>
      <w:r w:rsidRPr="007662CB">
        <w:t>.</w:t>
      </w:r>
    </w:p>
    <w:p w14:paraId="4A78F687" w14:textId="71E1CECA" w:rsidR="00B1581F" w:rsidRDefault="00694961" w:rsidP="00AB6286">
      <w:pPr>
        <w:pStyle w:val="Heading2"/>
      </w:pPr>
      <w:bookmarkStart w:id="41" w:name="_Toc40817824"/>
      <w:bookmarkStart w:id="42" w:name="_Toc473899545"/>
      <w:bookmarkStart w:id="43" w:name="_Toc474579290"/>
      <w:bookmarkStart w:id="44" w:name="_Toc474243020"/>
      <w:bookmarkStart w:id="45" w:name="_Toc38027594"/>
      <w:bookmarkStart w:id="46" w:name="_Toc41670032"/>
      <w:bookmarkEnd w:id="41"/>
      <w:r w:rsidRPr="00AB6286">
        <w:t>How could an applicant address Competitive Preference Priority 2 and how are points assigned?</w:t>
      </w:r>
      <w:bookmarkEnd w:id="42"/>
      <w:bookmarkEnd w:id="43"/>
      <w:bookmarkEnd w:id="44"/>
      <w:bookmarkEnd w:id="45"/>
      <w:bookmarkEnd w:id="46"/>
      <w:r w:rsidRPr="00AB6286">
        <w:t xml:space="preserve"> </w:t>
      </w:r>
    </w:p>
    <w:p w14:paraId="3F9CAAD5" w14:textId="28C54356" w:rsidR="00AA4FB1" w:rsidRPr="00AB6286" w:rsidRDefault="0094232F" w:rsidP="00AB6286">
      <w:r>
        <w:t xml:space="preserve">Applicants that have never received a TQP grant, </w:t>
      </w:r>
      <w:r w:rsidRPr="00854DEB">
        <w:t>including through membership in a group application submitted in accordance with 34 CFR 75.127-75.129</w:t>
      </w:r>
      <w:r>
        <w:t xml:space="preserve"> (i.e. if an applicant was part of a TQP eligible partnership previously), may receive 3 additional competitive preference points in the FY 2020 competition.</w:t>
      </w:r>
    </w:p>
    <w:p w14:paraId="7C2980EF" w14:textId="77777777" w:rsidR="002D2274" w:rsidRDefault="002D2274" w:rsidP="002D2274">
      <w:pPr>
        <w:pStyle w:val="Heading1"/>
      </w:pPr>
      <w:bookmarkStart w:id="47" w:name="_Toc40815408"/>
      <w:bookmarkStart w:id="48" w:name="_Toc40815454"/>
      <w:bookmarkStart w:id="49" w:name="_Toc40815500"/>
      <w:bookmarkStart w:id="50" w:name="_Toc40815590"/>
      <w:bookmarkStart w:id="51" w:name="_Toc40817875"/>
      <w:bookmarkStart w:id="52" w:name="_Toc513617683"/>
      <w:bookmarkStart w:id="53" w:name="_Toc41670033"/>
      <w:bookmarkEnd w:id="47"/>
      <w:bookmarkEnd w:id="48"/>
      <w:bookmarkEnd w:id="49"/>
      <w:bookmarkEnd w:id="50"/>
      <w:bookmarkEnd w:id="51"/>
      <w:r w:rsidRPr="00D86192">
        <w:t xml:space="preserve">Programmatic </w:t>
      </w:r>
      <w:r>
        <w:t xml:space="preserve">and General Application </w:t>
      </w:r>
      <w:r w:rsidRPr="00D86192">
        <w:t>Questions</w:t>
      </w:r>
      <w:bookmarkStart w:id="54" w:name="question9"/>
      <w:bookmarkStart w:id="55" w:name="question10"/>
      <w:bookmarkEnd w:id="52"/>
      <w:bookmarkEnd w:id="54"/>
      <w:bookmarkEnd w:id="55"/>
      <w:bookmarkEnd w:id="53"/>
    </w:p>
    <w:p w14:paraId="6A24DFB2" w14:textId="2F4D130A" w:rsidR="0024301C" w:rsidRDefault="0024301C" w:rsidP="0024301C">
      <w:pPr>
        <w:pStyle w:val="Heading2"/>
      </w:pPr>
      <w:bookmarkStart w:id="56" w:name="question11"/>
      <w:bookmarkStart w:id="57" w:name="_Toc41670034"/>
      <w:bookmarkStart w:id="58" w:name="_Toc513617684"/>
      <w:bookmarkEnd w:id="56"/>
      <w:r>
        <w:t xml:space="preserve">How might a proposed project develop approaches to remote </w:t>
      </w:r>
      <w:r w:rsidR="009918CD">
        <w:t xml:space="preserve">or distance </w:t>
      </w:r>
      <w:r>
        <w:t>learning due to the effects of the COVID-19 pandemic?</w:t>
      </w:r>
      <w:bookmarkEnd w:id="57"/>
    </w:p>
    <w:p w14:paraId="655788B8" w14:textId="160F540B" w:rsidR="0024301C" w:rsidRDefault="0024301C" w:rsidP="005D3F04">
      <w:r>
        <w:t>Applicants may choose to propose projects that incorporate remote or distance learning approaches due to the ongoing effects of the COVID-19 pandemic. The non-Federal peer reviewers will evaluate the quality and thoughtfulness of any proposed approach using the selection criteria for the FY 2020 TQP competition.</w:t>
      </w:r>
    </w:p>
    <w:p w14:paraId="5F4439F2" w14:textId="6323894F" w:rsidR="002D2274" w:rsidRPr="002D2274" w:rsidRDefault="002D2274" w:rsidP="002D2274">
      <w:pPr>
        <w:pStyle w:val="Heading2"/>
      </w:pPr>
      <w:bookmarkStart w:id="59" w:name="_Toc41670035"/>
      <w:r w:rsidRPr="002D2274">
        <w:t xml:space="preserve">Must </w:t>
      </w:r>
      <w:r w:rsidR="00016F84">
        <w:t xml:space="preserve">an </w:t>
      </w:r>
      <w:r w:rsidRPr="002D2274">
        <w:t>application include a needs assessment?</w:t>
      </w:r>
      <w:bookmarkEnd w:id="59"/>
    </w:p>
    <w:p w14:paraId="576FF31F" w14:textId="77777777" w:rsidR="002D2274" w:rsidRPr="002A71D9" w:rsidRDefault="002D2274" w:rsidP="002D2274">
      <w:r>
        <w:t>Yes. The application must include a nee</w:t>
      </w:r>
      <w:r w:rsidRPr="0083013C">
        <w:t xml:space="preserve">ds assessment of </w:t>
      </w:r>
      <w:r>
        <w:t xml:space="preserve">all </w:t>
      </w:r>
      <w:r w:rsidRPr="0083013C">
        <w:t>the partners in the eligible partnership with respect to the preparation, ongoing training, professional development, and retention of general education and special education teachers, principals, and, as applicable, early childhood educators</w:t>
      </w:r>
      <w:r w:rsidR="002D0607">
        <w:t>.</w:t>
      </w:r>
      <w:r>
        <w:t xml:space="preserve"> Applicants are strongly encouraged to explicitly identify their needs a</w:t>
      </w:r>
      <w:r w:rsidR="0018382D">
        <w:t xml:space="preserve">ssessment in </w:t>
      </w:r>
      <w:r w:rsidR="002D0607">
        <w:t>Appendix C</w:t>
      </w:r>
      <w:r w:rsidR="000B3360">
        <w:t xml:space="preserve"> of the program narrative</w:t>
      </w:r>
      <w:r w:rsidR="002D0607">
        <w:t>. See HEA section 202(b)(1).</w:t>
      </w:r>
    </w:p>
    <w:p w14:paraId="7CCECFEA" w14:textId="77777777" w:rsidR="002D2274" w:rsidRPr="00FF5B0B" w:rsidRDefault="002D2274" w:rsidP="002D2274">
      <w:pPr>
        <w:pStyle w:val="Heading2"/>
      </w:pPr>
      <w:bookmarkStart w:id="60" w:name="_Toc41670036"/>
      <w:r w:rsidRPr="00FF5B0B">
        <w:t xml:space="preserve">May individuals who are </w:t>
      </w:r>
      <w:r>
        <w:t xml:space="preserve">already </w:t>
      </w:r>
      <w:r w:rsidRPr="00FF5B0B">
        <w:t>certified to teach in one area participate in the teaching residency program as a way of becoming certified in another area?</w:t>
      </w:r>
      <w:bookmarkEnd w:id="58"/>
      <w:bookmarkEnd w:id="60"/>
    </w:p>
    <w:p w14:paraId="250B342D" w14:textId="77777777" w:rsidR="00E949AE" w:rsidRPr="00C57FC8" w:rsidRDefault="002D2274" w:rsidP="002D2274">
      <w:r w:rsidRPr="00C57FC8">
        <w:t>No.</w:t>
      </w:r>
      <w:r>
        <w:t xml:space="preserve"> </w:t>
      </w:r>
      <w:r w:rsidRPr="00C57FC8">
        <w:t xml:space="preserve">The definition of a “teaching residency program” in </w:t>
      </w:r>
      <w:r>
        <w:t>HEA section</w:t>
      </w:r>
      <w:r w:rsidRPr="00C57FC8">
        <w:t xml:space="preserve"> 200(22) provides that the program </w:t>
      </w:r>
      <w:r>
        <w:t>is</w:t>
      </w:r>
      <w:r w:rsidRPr="00C57FC8">
        <w:t xml:space="preserve"> for “prospective teachers</w:t>
      </w:r>
      <w:r>
        <w:t>.</w:t>
      </w:r>
      <w:r w:rsidRPr="00C57FC8">
        <w:t>”</w:t>
      </w:r>
      <w:r>
        <w:t xml:space="preserve"> </w:t>
      </w:r>
      <w:r w:rsidR="006A46CD">
        <w:t>Moreover, t</w:t>
      </w:r>
      <w:r w:rsidRPr="00C57FC8">
        <w:t xml:space="preserve">he </w:t>
      </w:r>
      <w:r w:rsidR="004803BD">
        <w:t xml:space="preserve">purpose of the TQP program </w:t>
      </w:r>
      <w:r w:rsidRPr="00C57FC8">
        <w:t xml:space="preserve">is to </w:t>
      </w:r>
      <w:bookmarkStart w:id="61" w:name="question12"/>
      <w:bookmarkStart w:id="62" w:name="question13"/>
      <w:bookmarkEnd w:id="61"/>
      <w:bookmarkEnd w:id="62"/>
      <w:r w:rsidR="004803BD">
        <w:t>increase the quality of prospective and new teachers and recruit highly qualified individuals</w:t>
      </w:r>
      <w:r w:rsidR="006A46CD">
        <w:t xml:space="preserve">, </w:t>
      </w:r>
      <w:r w:rsidR="004803BD" w:rsidRPr="004803BD">
        <w:t>including minorities and individuals from other occupations, into the teaching force</w:t>
      </w:r>
      <w:r w:rsidR="004803BD">
        <w:t xml:space="preserve">. See HEA section 201. </w:t>
      </w:r>
    </w:p>
    <w:p w14:paraId="39DD790A" w14:textId="77777777" w:rsidR="002D2274" w:rsidRPr="002D2274" w:rsidRDefault="002D2274" w:rsidP="002D2274">
      <w:pPr>
        <w:pStyle w:val="Heading2"/>
      </w:pPr>
      <w:bookmarkStart w:id="63" w:name="_Toc513617685"/>
      <w:bookmarkStart w:id="64" w:name="_Toc41670037"/>
      <w:r w:rsidRPr="002D2274">
        <w:t>What is a teaching resident’s service obligation, and who is responsible for tracking whether, upon completion of their teaching residencies, residents have met it?</w:t>
      </w:r>
      <w:bookmarkEnd w:id="63"/>
      <w:bookmarkEnd w:id="64"/>
    </w:p>
    <w:p w14:paraId="0079548C" w14:textId="77777777" w:rsidR="002D2274" w:rsidRDefault="002D2274" w:rsidP="002D2274">
      <w:r>
        <w:t>In order to receive the one-year living stipend or salary that eligible partnerships must make available to them,</w:t>
      </w:r>
      <w:r w:rsidRPr="00C57FC8">
        <w:t xml:space="preserve"> </w:t>
      </w:r>
      <w:r>
        <w:t>r</w:t>
      </w:r>
      <w:r w:rsidRPr="00C57FC8">
        <w:t xml:space="preserve">esidents </w:t>
      </w:r>
      <w:r>
        <w:t>must submit an application that includes an agreement to work, immediately upon successful completion of the residency, as a full-time teacher for not less than three years in a high-need school in a high-need LEA</w:t>
      </w:r>
      <w:r w:rsidR="00AD2AC1">
        <w:t xml:space="preserve"> in the eligible partnership</w:t>
      </w:r>
      <w:r>
        <w:t>. The agreement also must specify that a resident who does not fulfill this service obligation must repay these funds to the eligible partnership</w:t>
      </w:r>
      <w:r w:rsidRPr="00C57FC8">
        <w:t>.</w:t>
      </w:r>
      <w:r>
        <w:t xml:space="preserve"> See HEA sec</w:t>
      </w:r>
      <w:r w:rsidR="00AD2AC1">
        <w:t>tion 202(e)(2)(C)(iii) and (iv) for more information.</w:t>
      </w:r>
    </w:p>
    <w:p w14:paraId="49AD1F27" w14:textId="77777777" w:rsidR="002D2274" w:rsidRDefault="002D2274" w:rsidP="002D2274">
      <w:r>
        <w:t>E</w:t>
      </w:r>
      <w:r w:rsidRPr="00C57FC8">
        <w:t>ligible partnership</w:t>
      </w:r>
      <w:r>
        <w:t>s</w:t>
      </w:r>
      <w:r w:rsidRPr="00C57FC8">
        <w:t xml:space="preserve"> </w:t>
      </w:r>
      <w:r>
        <w:t>are</w:t>
      </w:r>
      <w:r w:rsidRPr="00C57FC8">
        <w:t xml:space="preserve"> responsible for tracking residents’ employment after completing the teaching residency program based on the terms of the repayment agreement</w:t>
      </w:r>
      <w:r>
        <w:t>, and for requiring residents who do not fulfill their service obligation to repay the living stipend or salary that they received</w:t>
      </w:r>
      <w:r w:rsidRPr="00C57FC8">
        <w:t>.</w:t>
      </w:r>
      <w:r>
        <w:t xml:space="preserve"> </w:t>
      </w:r>
      <w:r w:rsidR="00130781">
        <w:t xml:space="preserve">Eligible </w:t>
      </w:r>
      <w:r w:rsidR="00130781">
        <w:lastRenderedPageBreak/>
        <w:t>partnerships</w:t>
      </w:r>
      <w:r>
        <w:t xml:space="preserve"> must </w:t>
      </w:r>
      <w:r w:rsidR="00130781">
        <w:t xml:space="preserve">then </w:t>
      </w:r>
      <w:r>
        <w:t>use recovered funds for additional activities consistent with the purposes of the</w:t>
      </w:r>
      <w:r w:rsidR="00130781">
        <w:t xml:space="preserve"> TQP program</w:t>
      </w:r>
      <w:r>
        <w:t>.</w:t>
      </w:r>
      <w:r w:rsidRPr="00C57FC8">
        <w:t xml:space="preserve"> </w:t>
      </w:r>
      <w:bookmarkStart w:id="65" w:name="question14"/>
      <w:bookmarkStart w:id="66" w:name="question15"/>
      <w:bookmarkStart w:id="67" w:name="question16"/>
      <w:bookmarkEnd w:id="65"/>
      <w:bookmarkEnd w:id="66"/>
      <w:bookmarkEnd w:id="67"/>
      <w:r w:rsidR="00207E57">
        <w:t xml:space="preserve">All grantees will be expected to submit an annual performance report to the Department documenting their success in addressing the TQP performance measures, including </w:t>
      </w:r>
      <w:r w:rsidR="00B76858">
        <w:t>three-year employment retention</w:t>
      </w:r>
      <w:r w:rsidR="00D42544">
        <w:t xml:space="preserve">. This is a measure of the percentage of program completers who were employed by the high-need LEA or </w:t>
      </w:r>
      <w:r w:rsidR="000039D0">
        <w:t>early childhood education</w:t>
      </w:r>
      <w:r w:rsidR="00D42544">
        <w:t xml:space="preserve"> program for three consecutive years after initial employment.</w:t>
      </w:r>
      <w:r w:rsidR="001A50DA">
        <w:t xml:space="preserve"> </w:t>
      </w:r>
      <w:r w:rsidR="00514D1C">
        <w:t xml:space="preserve"> </w:t>
      </w:r>
    </w:p>
    <w:p w14:paraId="11910007" w14:textId="77777777" w:rsidR="002D2274" w:rsidRDefault="002D2274" w:rsidP="002D2274">
      <w:r w:rsidRPr="00242ADE">
        <w:t xml:space="preserve">If </w:t>
      </w:r>
      <w:r w:rsidR="004F0C9E">
        <w:t>a grantee</w:t>
      </w:r>
      <w:r w:rsidRPr="00242ADE">
        <w:t xml:space="preserve"> is unable to </w:t>
      </w:r>
      <w:r>
        <w:t>“</w:t>
      </w:r>
      <w:r w:rsidRPr="00224A59">
        <w:t>carry out additional activities that are consistent with the purposes</w:t>
      </w:r>
      <w:r>
        <w:t xml:space="preserve">” of their </w:t>
      </w:r>
      <w:r w:rsidRPr="00242ADE">
        <w:t>TQP program</w:t>
      </w:r>
      <w:r>
        <w:t xml:space="preserve">, </w:t>
      </w:r>
      <w:r w:rsidRPr="00242ADE">
        <w:t xml:space="preserve">then, consistent with how </w:t>
      </w:r>
      <w:r>
        <w:t xml:space="preserve">the Department handles </w:t>
      </w:r>
      <w:r w:rsidR="00390B6F">
        <w:t>unspent</w:t>
      </w:r>
      <w:r>
        <w:t xml:space="preserve"> funds, the funds m</w:t>
      </w:r>
      <w:r w:rsidR="00E010CC">
        <w:t>ust b</w:t>
      </w:r>
      <w:r w:rsidR="00C12FCC">
        <w:t xml:space="preserve">e returned </w:t>
      </w:r>
      <w:r w:rsidR="00E010CC">
        <w:t>to the Federal Government.</w:t>
      </w:r>
    </w:p>
    <w:p w14:paraId="02BAB7DB" w14:textId="77777777" w:rsidR="005511C1" w:rsidRDefault="005511C1" w:rsidP="005511C1">
      <w:pPr>
        <w:pStyle w:val="Heading2"/>
      </w:pPr>
      <w:bookmarkStart w:id="68" w:name="_Toc41670038"/>
      <w:r>
        <w:t>What is meant by a deferral of the teaching resident’s service obligation on the grounds of “</w:t>
      </w:r>
      <w:r w:rsidRPr="005511C1">
        <w:t>inability to secure employment in a school served by the eligible partnership</w:t>
      </w:r>
      <w:r>
        <w:t>”?</w:t>
      </w:r>
      <w:bookmarkEnd w:id="68"/>
    </w:p>
    <w:p w14:paraId="502BFF96" w14:textId="77777777" w:rsidR="005511C1" w:rsidRPr="005511C1" w:rsidRDefault="000538CD" w:rsidP="005511C1">
      <w:r>
        <w:t>A deferral of the teaching resident’s service obligation on the grounds of</w:t>
      </w:r>
      <w:r w:rsidR="005700DA">
        <w:t xml:space="preserve"> an</w:t>
      </w:r>
      <w:r>
        <w:t xml:space="preserve"> “</w:t>
      </w:r>
      <w:r w:rsidRPr="005511C1">
        <w:t>inability to secure employment in a school served by the eligible partnership</w:t>
      </w:r>
      <w:r w:rsidR="005700DA">
        <w:t xml:space="preserve">” </w:t>
      </w:r>
      <w:r w:rsidR="00AD2AC1">
        <w:t xml:space="preserve">(HEA section 202(e)(2)(C)(iv)(II)) </w:t>
      </w:r>
      <w:r w:rsidR="005700DA">
        <w:t>may result when the schools served by the eligible partnership are not currently hiring for the teaching resident’</w:t>
      </w:r>
      <w:r w:rsidR="00AD2AC1">
        <w:t>s subject area,</w:t>
      </w:r>
      <w:r w:rsidR="005700DA">
        <w:t xml:space="preserve"> </w:t>
      </w:r>
      <w:r w:rsidR="005700DA" w:rsidRPr="005700DA">
        <w:t>licensure</w:t>
      </w:r>
      <w:r w:rsidR="00AD2AC1">
        <w:t>, or experience</w:t>
      </w:r>
      <w:r w:rsidR="00A712DD">
        <w:t>.</w:t>
      </w:r>
    </w:p>
    <w:p w14:paraId="42F8EBB8" w14:textId="77777777" w:rsidR="002D2274" w:rsidRPr="002D2274" w:rsidRDefault="002D2274" w:rsidP="002D2274">
      <w:pPr>
        <w:pStyle w:val="Heading2"/>
      </w:pPr>
      <w:bookmarkStart w:id="69" w:name="_Toc513617686"/>
      <w:bookmarkStart w:id="70" w:name="_Toc41670039"/>
      <w:r w:rsidRPr="002D2274">
        <w:t>In teaching residency projects, may payment of the participants’ “one-year living stipend or salary” be made with either TQP grant funds or with non-Federal match funds</w:t>
      </w:r>
      <w:bookmarkEnd w:id="69"/>
      <w:r w:rsidRPr="002D2274">
        <w:t>?</w:t>
      </w:r>
      <w:bookmarkEnd w:id="70"/>
    </w:p>
    <w:p w14:paraId="6277D499" w14:textId="77777777" w:rsidR="002D2274" w:rsidRDefault="002D2274" w:rsidP="002D2274">
      <w:r w:rsidRPr="00C57FC8">
        <w:t>Yes.</w:t>
      </w:r>
      <w:r>
        <w:t xml:space="preserve"> </w:t>
      </w:r>
      <w:r w:rsidRPr="00C57FC8">
        <w:t>The living stipend</w:t>
      </w:r>
      <w:r w:rsidR="00E010CC">
        <w:t xml:space="preserve"> or salary</w:t>
      </w:r>
      <w:r w:rsidRPr="00C57FC8">
        <w:t xml:space="preserve"> may be paid with TQP funds</w:t>
      </w:r>
      <w:r>
        <w:t>, non-F</w:t>
      </w:r>
      <w:r w:rsidRPr="00C57FC8">
        <w:t xml:space="preserve">ederal </w:t>
      </w:r>
      <w:r>
        <w:t xml:space="preserve">match </w:t>
      </w:r>
      <w:r w:rsidRPr="00C57FC8">
        <w:t>funds, or a combination of the two.</w:t>
      </w:r>
    </w:p>
    <w:p w14:paraId="2A23DADC" w14:textId="77777777" w:rsidR="002D2274" w:rsidRDefault="002D2274" w:rsidP="002D2274">
      <w:r w:rsidRPr="00903E92">
        <w:t xml:space="preserve">The </w:t>
      </w:r>
      <w:r>
        <w:t>TQP statute</w:t>
      </w:r>
      <w:r w:rsidRPr="00903E92">
        <w:t xml:space="preserve"> does not define the term “living stipend or salary.”</w:t>
      </w:r>
      <w:r>
        <w:t xml:space="preserve"> </w:t>
      </w:r>
      <w:r w:rsidRPr="00903E92">
        <w:t xml:space="preserve">Therefore, the applicant should describe in the budget and budget narrative (and elsewhere in the application, as relevant) </w:t>
      </w:r>
      <w:r>
        <w:t xml:space="preserve">a reasonable and necessary </w:t>
      </w:r>
      <w:r w:rsidRPr="00903E92">
        <w:t xml:space="preserve">amount that it proposes to provide as a living stipend </w:t>
      </w:r>
      <w:r w:rsidR="00E010CC">
        <w:t xml:space="preserve">or salary to </w:t>
      </w:r>
      <w:r w:rsidRPr="00903E92">
        <w:t>its teaching residents.</w:t>
      </w:r>
      <w:r>
        <w:t xml:space="preserve"> </w:t>
      </w:r>
      <w:r w:rsidRPr="00903E92">
        <w:t>This living stipend may be granted for a maximum of one year</w:t>
      </w:r>
      <w:r w:rsidR="00AF4E0C">
        <w:t>, as specified by HEA section 202(e)(2)(C)(</w:t>
      </w:r>
      <w:proofErr w:type="spellStart"/>
      <w:r w:rsidR="00AF4E0C">
        <w:t>i</w:t>
      </w:r>
      <w:proofErr w:type="spellEnd"/>
      <w:r w:rsidR="00AF4E0C">
        <w:t>).</w:t>
      </w:r>
    </w:p>
    <w:p w14:paraId="3C8FE544" w14:textId="77777777" w:rsidR="002D2274" w:rsidRPr="00242ADE" w:rsidRDefault="002D2274" w:rsidP="002D2274">
      <w:pPr>
        <w:pStyle w:val="Heading2"/>
      </w:pPr>
      <w:bookmarkStart w:id="71" w:name="_Toc41670040"/>
      <w:r w:rsidRPr="00AC144F">
        <w:t xml:space="preserve">How are </w:t>
      </w:r>
      <w:r>
        <w:t>l</w:t>
      </w:r>
      <w:r w:rsidRPr="00AC144F">
        <w:t xml:space="preserve">iving </w:t>
      </w:r>
      <w:r>
        <w:t>s</w:t>
      </w:r>
      <w:r w:rsidRPr="00AC144F">
        <w:t>tipends</w:t>
      </w:r>
      <w:r w:rsidR="00A9132C">
        <w:t xml:space="preserve"> or salaries</w:t>
      </w:r>
      <w:r w:rsidRPr="00AC144F">
        <w:t xml:space="preserve"> categori</w:t>
      </w:r>
      <w:r w:rsidRPr="00242ADE">
        <w:t xml:space="preserve">zed for accounting purposes with the partner IHE and </w:t>
      </w:r>
      <w:r w:rsidR="00A9132C">
        <w:t>teacher residents</w:t>
      </w:r>
      <w:r w:rsidRPr="007913F9">
        <w:t>?</w:t>
      </w:r>
      <w:bookmarkEnd w:id="71"/>
    </w:p>
    <w:p w14:paraId="775B3625" w14:textId="77777777" w:rsidR="002D2274" w:rsidRDefault="002D2274" w:rsidP="002D2274">
      <w:r w:rsidRPr="00344ABF">
        <w:t>Applicants should follow the</w:t>
      </w:r>
      <w:r>
        <w:t xml:space="preserve"> partner institution</w:t>
      </w:r>
      <w:r w:rsidRPr="00242ADE">
        <w:t xml:space="preserve"> policy regarding the</w:t>
      </w:r>
      <w:r>
        <w:t xml:space="preserve"> appropriate</w:t>
      </w:r>
      <w:r w:rsidRPr="00242ADE">
        <w:t xml:space="preserve"> tax characterization of the required living stipend</w:t>
      </w:r>
      <w:r>
        <w:t xml:space="preserve"> or salary for </w:t>
      </w:r>
      <w:r w:rsidR="00A9132C">
        <w:t>teacher residents</w:t>
      </w:r>
      <w:r>
        <w:t>.</w:t>
      </w:r>
    </w:p>
    <w:p w14:paraId="01391E7C" w14:textId="77777777" w:rsidR="00753192" w:rsidRPr="002D2274" w:rsidRDefault="00753192" w:rsidP="00753192">
      <w:pPr>
        <w:pStyle w:val="Heading2"/>
      </w:pPr>
      <w:bookmarkStart w:id="72" w:name="_Toc513365552"/>
      <w:bookmarkStart w:id="73" w:name="_Toc513617676"/>
      <w:bookmarkStart w:id="74" w:name="_Toc41670041"/>
      <w:r w:rsidRPr="002D2274">
        <w:t xml:space="preserve">May grantees use TQP funds to pay student stipends or tuition reduction to project participants? May TQP funds pay the costs of </w:t>
      </w:r>
      <w:r w:rsidR="00892293">
        <w:t>participants’</w:t>
      </w:r>
      <w:r w:rsidR="00892293" w:rsidRPr="002D2274">
        <w:t xml:space="preserve"> </w:t>
      </w:r>
      <w:r w:rsidRPr="002D2274">
        <w:t>certification or State testing?</w:t>
      </w:r>
      <w:bookmarkEnd w:id="72"/>
      <w:bookmarkEnd w:id="73"/>
      <w:bookmarkEnd w:id="74"/>
    </w:p>
    <w:p w14:paraId="07532409" w14:textId="77777777" w:rsidR="00753192" w:rsidRDefault="00753192" w:rsidP="00753192">
      <w:r w:rsidRPr="00C57FC8">
        <w:t>No.</w:t>
      </w:r>
      <w:r>
        <w:t xml:space="preserve"> The HEA does not authorize the use of </w:t>
      </w:r>
      <w:r w:rsidRPr="00C57FC8">
        <w:t>TQP funds for tuition</w:t>
      </w:r>
      <w:r>
        <w:t xml:space="preserve"> reduction</w:t>
      </w:r>
      <w:r w:rsidRPr="00C57FC8">
        <w:t xml:space="preserve"> or other student support costs such as fees for certif</w:t>
      </w:r>
      <w:r>
        <w:t>ication or S</w:t>
      </w:r>
      <w:r w:rsidRPr="00C57FC8">
        <w:t>tate testing.</w:t>
      </w:r>
      <w:r>
        <w:t xml:space="preserve"> </w:t>
      </w:r>
    </w:p>
    <w:p w14:paraId="1B9A2E76" w14:textId="77777777" w:rsidR="00753192" w:rsidRPr="00242ADE" w:rsidRDefault="00892293" w:rsidP="002D2274">
      <w:r>
        <w:t>However, a</w:t>
      </w:r>
      <w:r w:rsidR="00753192">
        <w:t xml:space="preserve">pplicants must provide a one-year living stipend </w:t>
      </w:r>
      <w:r w:rsidR="00E43887">
        <w:t xml:space="preserve">or salary </w:t>
      </w:r>
      <w:r w:rsidR="00753192">
        <w:t>consistent with HEA section 202(e)(2)(C)(</w:t>
      </w:r>
      <w:proofErr w:type="spellStart"/>
      <w:r w:rsidR="00753192">
        <w:t>i</w:t>
      </w:r>
      <w:proofErr w:type="spellEnd"/>
      <w:r w:rsidR="00753192">
        <w:t>)</w:t>
      </w:r>
      <w:r>
        <w:t xml:space="preserve"> and a </w:t>
      </w:r>
      <w:r w:rsidR="00753192">
        <w:t xml:space="preserve">participant </w:t>
      </w:r>
      <w:r>
        <w:t xml:space="preserve">may </w:t>
      </w:r>
      <w:r w:rsidR="00753192">
        <w:t>cho</w:t>
      </w:r>
      <w:r>
        <w:t>o</w:t>
      </w:r>
      <w:r w:rsidR="00753192">
        <w:t xml:space="preserve">se to use the living stipend </w:t>
      </w:r>
      <w:r>
        <w:t xml:space="preserve">for </w:t>
      </w:r>
      <w:r w:rsidR="00753192">
        <w:t>their tuition.</w:t>
      </w:r>
      <w:bookmarkStart w:id="75" w:name="question7"/>
      <w:bookmarkStart w:id="76" w:name="question8"/>
      <w:bookmarkEnd w:id="75"/>
      <w:bookmarkEnd w:id="76"/>
    </w:p>
    <w:p w14:paraId="04F524E6" w14:textId="77777777" w:rsidR="002D2274" w:rsidRPr="002D2274" w:rsidRDefault="002D2274" w:rsidP="002D2274">
      <w:pPr>
        <w:pStyle w:val="Heading2"/>
      </w:pPr>
      <w:bookmarkStart w:id="77" w:name="_Toc513617687"/>
      <w:bookmarkStart w:id="78" w:name="_Toc41670042"/>
      <w:r w:rsidRPr="002D2274">
        <w:t>May an applicant seek TQP funding to prepare multiple cohorts of teachers in a teaching residency program?</w:t>
      </w:r>
      <w:bookmarkEnd w:id="77"/>
      <w:bookmarkEnd w:id="78"/>
    </w:p>
    <w:p w14:paraId="4B9533FA" w14:textId="77777777" w:rsidR="002D2274" w:rsidRPr="002D2274" w:rsidRDefault="002D2274" w:rsidP="002D2274">
      <w:r w:rsidRPr="00C57FC8">
        <w:t>Yes.</w:t>
      </w:r>
      <w:r>
        <w:t xml:space="preserve"> However, i</w:t>
      </w:r>
      <w:r w:rsidRPr="00C57FC8">
        <w:t xml:space="preserve">f an applicant proposes to recruit and prepare </w:t>
      </w:r>
      <w:r w:rsidR="0014185C">
        <w:t xml:space="preserve">teacher residency </w:t>
      </w:r>
      <w:r w:rsidRPr="00C57FC8">
        <w:t xml:space="preserve">candidates during </w:t>
      </w:r>
      <w:r>
        <w:t xml:space="preserve">Project </w:t>
      </w:r>
      <w:r w:rsidRPr="00C57FC8">
        <w:t xml:space="preserve">Years 4 or 5 of their grant </w:t>
      </w:r>
      <w:r>
        <w:t>performance period</w:t>
      </w:r>
      <w:r w:rsidRPr="00C57FC8">
        <w:t xml:space="preserve">, </w:t>
      </w:r>
      <w:r>
        <w:t xml:space="preserve">the Department </w:t>
      </w:r>
      <w:r w:rsidRPr="00C57FC8">
        <w:t>will expect</w:t>
      </w:r>
      <w:r>
        <w:t xml:space="preserve"> it</w:t>
      </w:r>
      <w:r w:rsidRPr="00C57FC8">
        <w:t xml:space="preserve"> to describe in the application </w:t>
      </w:r>
      <w:r>
        <w:t xml:space="preserve">how it will </w:t>
      </w:r>
      <w:r w:rsidRPr="00C57FC8">
        <w:t>provid</w:t>
      </w:r>
      <w:r>
        <w:t>e</w:t>
      </w:r>
      <w:r w:rsidRPr="00C57FC8">
        <w:t xml:space="preserve"> them with the required minimum two-year induction support, </w:t>
      </w:r>
      <w:r w:rsidRPr="00C57FC8">
        <w:lastRenderedPageBreak/>
        <w:t>professional development</w:t>
      </w:r>
      <w:r w:rsidR="0014185C">
        <w:t xml:space="preserve">, and networking opportunities </w:t>
      </w:r>
      <w:r>
        <w:t xml:space="preserve">during and after </w:t>
      </w:r>
      <w:r w:rsidRPr="00C57FC8">
        <w:t xml:space="preserve">the </w:t>
      </w:r>
      <w:r>
        <w:t xml:space="preserve">end of the </w:t>
      </w:r>
      <w:r w:rsidRPr="00C57FC8">
        <w:t>five-year grant performance period.</w:t>
      </w:r>
      <w:bookmarkStart w:id="79" w:name="question17"/>
      <w:bookmarkStart w:id="80" w:name="question18"/>
      <w:bookmarkEnd w:id="79"/>
      <w:bookmarkEnd w:id="80"/>
      <w:r w:rsidR="0014185C">
        <w:t xml:space="preserve"> S</w:t>
      </w:r>
      <w:r w:rsidR="0014185C" w:rsidRPr="00C57FC8">
        <w:t xml:space="preserve">ee </w:t>
      </w:r>
      <w:r w:rsidR="0014185C">
        <w:t>HEA section 202(e)(2)(A)(vii) for more information.</w:t>
      </w:r>
    </w:p>
    <w:p w14:paraId="35F7EAA8" w14:textId="77777777" w:rsidR="002D2274" w:rsidRPr="002D2274" w:rsidRDefault="002D2274" w:rsidP="002D2274">
      <w:pPr>
        <w:pStyle w:val="Heading2"/>
      </w:pPr>
      <w:bookmarkStart w:id="81" w:name="_Toc513617688"/>
      <w:bookmarkStart w:id="82" w:name="_Toc41670043"/>
      <w:r w:rsidRPr="002D2274">
        <w:t>What is the required length of the teaching residency program?</w:t>
      </w:r>
      <w:bookmarkEnd w:id="81"/>
      <w:bookmarkEnd w:id="82"/>
      <w:r w:rsidRPr="002D2274">
        <w:t xml:space="preserve"> </w:t>
      </w:r>
    </w:p>
    <w:p w14:paraId="02F1EF53" w14:textId="77777777" w:rsidR="002D2274" w:rsidRDefault="002D2274" w:rsidP="002D2274">
      <w:r w:rsidRPr="00C57FC8">
        <w:t>The teaching residency program must be designed so that participants may complete it within 18 months</w:t>
      </w:r>
      <w:r>
        <w:t xml:space="preserve"> (i</w:t>
      </w:r>
      <w:r w:rsidRPr="00C57FC8">
        <w:t>.e.</w:t>
      </w:r>
      <w:r w:rsidR="00892293">
        <w:t>,</w:t>
      </w:r>
      <w:r w:rsidRPr="00C57FC8">
        <w:t xml:space="preserve"> the program must be designed so that within an 18-month period, residents may receive the necessary mentoring and instruction and earn a Master’s degree and initial teacher certification or licensure</w:t>
      </w:r>
      <w:r>
        <w:t>)</w:t>
      </w:r>
      <w:r w:rsidRPr="00C57FC8">
        <w:t>.</w:t>
      </w:r>
      <w:r>
        <w:t xml:space="preserve"> </w:t>
      </w:r>
      <w:r w:rsidRPr="00C57FC8">
        <w:t xml:space="preserve">TQP program funds may only be used to pay for residents’ stipends </w:t>
      </w:r>
      <w:r>
        <w:t xml:space="preserve">or salaries </w:t>
      </w:r>
      <w:r w:rsidRPr="00C57FC8">
        <w:t xml:space="preserve">for </w:t>
      </w:r>
      <w:r>
        <w:t xml:space="preserve">a </w:t>
      </w:r>
      <w:r w:rsidRPr="00C57FC8">
        <w:t>one-year (12</w:t>
      </w:r>
      <w:r>
        <w:t>-</w:t>
      </w:r>
      <w:r w:rsidRPr="00C57FC8">
        <w:t>month) period of that program.</w:t>
      </w:r>
      <w:r>
        <w:t xml:space="preserve"> </w:t>
      </w:r>
      <w:r w:rsidRPr="00C57FC8">
        <w:t xml:space="preserve">See </w:t>
      </w:r>
      <w:r w:rsidR="00F6649B">
        <w:t>HEA section 200(22) for more information</w:t>
      </w:r>
      <w:r>
        <w:t>.</w:t>
      </w:r>
    </w:p>
    <w:p w14:paraId="1676F0C9" w14:textId="77777777" w:rsidR="00F64075" w:rsidRDefault="00F64075" w:rsidP="00F64075">
      <w:pPr>
        <w:pStyle w:val="Heading2"/>
      </w:pPr>
      <w:bookmarkStart w:id="83" w:name="question19"/>
      <w:bookmarkStart w:id="84" w:name="question20"/>
      <w:bookmarkStart w:id="85" w:name="_Toc41670044"/>
      <w:bookmarkEnd w:id="83"/>
      <w:bookmarkEnd w:id="84"/>
      <w:r w:rsidRPr="00F64075">
        <w:t xml:space="preserve">What </w:t>
      </w:r>
      <w:r w:rsidR="005511C1">
        <w:t>a</w:t>
      </w:r>
      <w:r w:rsidRPr="00F64075">
        <w:t xml:space="preserve">dditional </w:t>
      </w:r>
      <w:r w:rsidR="00BF171C">
        <w:t xml:space="preserve">teacher resident </w:t>
      </w:r>
      <w:r w:rsidRPr="00F64075">
        <w:t>selection criteria may an applicant include for selecting</w:t>
      </w:r>
      <w:r>
        <w:t xml:space="preserve"> eligible individuals</w:t>
      </w:r>
      <w:r w:rsidRPr="00F64075">
        <w:t>?</w:t>
      </w:r>
      <w:bookmarkEnd w:id="85"/>
    </w:p>
    <w:p w14:paraId="6C001A3F" w14:textId="77777777" w:rsidR="00F64075" w:rsidRDefault="00F64075" w:rsidP="00F64075">
      <w:r>
        <w:t xml:space="preserve">In addition to the </w:t>
      </w:r>
      <w:r w:rsidR="009B2029">
        <w:t>specified</w:t>
      </w:r>
      <w:r>
        <w:t xml:space="preserve"> criteria, an applicant, consistent with HEA section 202(e)</w:t>
      </w:r>
      <w:r w:rsidR="00E43887">
        <w:t>(2)</w:t>
      </w:r>
      <w:r>
        <w:t>(B)(ii), may include other attributes linked to effective teaching</w:t>
      </w:r>
      <w:r w:rsidR="0006293C">
        <w:t xml:space="preserve"> for selecting teacher residents</w:t>
      </w:r>
      <w:r>
        <w:t xml:space="preserve">, which may be determined by interviews or performance assessments, as specified by the eligible partnership. </w:t>
      </w:r>
    </w:p>
    <w:p w14:paraId="5AFBE1D0" w14:textId="5893414B" w:rsidR="00F64075" w:rsidRDefault="00F64075" w:rsidP="00F64075">
      <w:r>
        <w:t xml:space="preserve">This could, for example, include requiring prospective teacher residents to perform a sample teaching lesson or interviewing with a panel of current teachers, </w:t>
      </w:r>
      <w:r w:rsidR="00E65C87">
        <w:t>to</w:t>
      </w:r>
      <w:r>
        <w:t xml:space="preserve"> help select the most appropriate teacher residents for the applicant’s proposed program</w:t>
      </w:r>
      <w:r w:rsidR="005511C1">
        <w:t>.</w:t>
      </w:r>
    </w:p>
    <w:p w14:paraId="0C12DD61" w14:textId="77777777" w:rsidR="002D2274" w:rsidRPr="002D2274" w:rsidRDefault="002D2274" w:rsidP="002D2274">
      <w:pPr>
        <w:pStyle w:val="Heading2"/>
      </w:pPr>
      <w:bookmarkStart w:id="86" w:name="question24"/>
      <w:bookmarkStart w:id="87" w:name="_Toc513617690"/>
      <w:bookmarkStart w:id="88" w:name="_Toc41670045"/>
      <w:bookmarkEnd w:id="86"/>
      <w:r w:rsidRPr="002D2274">
        <w:t>May teacher mentors under the TQP program receive stipends?</w:t>
      </w:r>
      <w:bookmarkEnd w:id="87"/>
      <w:bookmarkEnd w:id="88"/>
      <w:r w:rsidR="00D042F0">
        <w:t xml:space="preserve"> </w:t>
      </w:r>
    </w:p>
    <w:p w14:paraId="4AC38C88" w14:textId="77777777" w:rsidR="002D2274" w:rsidRPr="00C57FC8" w:rsidRDefault="002D2274" w:rsidP="002D2274">
      <w:r w:rsidRPr="00C57FC8">
        <w:t>Yes.</w:t>
      </w:r>
      <w:r>
        <w:t xml:space="preserve"> </w:t>
      </w:r>
      <w:r w:rsidRPr="00C57FC8">
        <w:t xml:space="preserve">TQP funds may be used to provide reasonable and necessary stipends or other supplemental compensation to teachers who have taken on additional responsibilities related to mentoring </w:t>
      </w:r>
      <w:r>
        <w:t>the teaching residents</w:t>
      </w:r>
      <w:r w:rsidRPr="00C57FC8">
        <w:t>.</w:t>
      </w:r>
      <w:r>
        <w:t xml:space="preserve"> </w:t>
      </w:r>
      <w:r w:rsidRPr="00C57FC8">
        <w:t>Supplemental compensation may include bonuses, salary differentials, incentives, or performance pay, based on the mentor</w:t>
      </w:r>
      <w:r>
        <w:t xml:space="preserve"> teacher</w:t>
      </w:r>
      <w:r w:rsidRPr="00C57FC8">
        <w:t xml:space="preserve">’s </w:t>
      </w:r>
      <w:r w:rsidR="0038763A">
        <w:t xml:space="preserve">extra skills and </w:t>
      </w:r>
      <w:r w:rsidRPr="00C57FC8">
        <w:t>responsibilities.</w:t>
      </w:r>
    </w:p>
    <w:p w14:paraId="4AF32362" w14:textId="77777777" w:rsidR="002D2274" w:rsidRPr="002D2274" w:rsidRDefault="002D2274" w:rsidP="002D2274">
      <w:pPr>
        <w:pStyle w:val="Heading2"/>
      </w:pPr>
      <w:bookmarkStart w:id="89" w:name="_Toc513617691"/>
      <w:bookmarkStart w:id="90" w:name="_Toc41670046"/>
      <w:r w:rsidRPr="002D2274">
        <w:t>May TQP funds be used to secure replacement teachers for times when mentor teachers are working on TQP responsibilities outside their classrooms?</w:t>
      </w:r>
      <w:bookmarkEnd w:id="89"/>
      <w:bookmarkEnd w:id="90"/>
    </w:p>
    <w:p w14:paraId="6CA1489B" w14:textId="77777777" w:rsidR="002D2274" w:rsidRPr="00C57FC8" w:rsidRDefault="002D2274" w:rsidP="002D2274">
      <w:r w:rsidRPr="00C57FC8">
        <w:t>Yes.</w:t>
      </w:r>
      <w:r>
        <w:t xml:space="preserve"> TQP f</w:t>
      </w:r>
      <w:r w:rsidRPr="00C57FC8">
        <w:t>unds may be used to cover the costs of replacement teachers as long as the LEA, under its established policies, would not pay for these costs in the absence of the TQP project (which therefore would constitute impermissible supplanting of other Federal, State</w:t>
      </w:r>
      <w:r>
        <w:t>,</w:t>
      </w:r>
      <w:r w:rsidR="00AE1D86">
        <w:t xml:space="preserve"> or local funds).</w:t>
      </w:r>
    </w:p>
    <w:p w14:paraId="026B52A1" w14:textId="77777777" w:rsidR="002D2274" w:rsidRPr="002D2274" w:rsidRDefault="002D2274" w:rsidP="002D2274">
      <w:pPr>
        <w:pStyle w:val="Heading2"/>
      </w:pPr>
      <w:bookmarkStart w:id="91" w:name="question26"/>
      <w:bookmarkStart w:id="92" w:name="question27"/>
      <w:bookmarkStart w:id="93" w:name="question28"/>
      <w:bookmarkStart w:id="94" w:name="question29"/>
      <w:bookmarkStart w:id="95" w:name="question31"/>
      <w:bookmarkStart w:id="96" w:name="question32"/>
      <w:bookmarkStart w:id="97" w:name="question33"/>
      <w:bookmarkStart w:id="98" w:name="_Toc513617692"/>
      <w:bookmarkStart w:id="99" w:name="_Toc41670047"/>
      <w:bookmarkEnd w:id="91"/>
      <w:bookmarkEnd w:id="92"/>
      <w:bookmarkEnd w:id="93"/>
      <w:bookmarkEnd w:id="94"/>
      <w:bookmarkEnd w:id="95"/>
      <w:bookmarkEnd w:id="96"/>
      <w:bookmarkEnd w:id="97"/>
      <w:r w:rsidRPr="002D2274">
        <w:t xml:space="preserve">Is Early Childhood Education (ECE) a required component of </w:t>
      </w:r>
      <w:r w:rsidR="00E010CC" w:rsidRPr="002D2274">
        <w:t>the Absolute</w:t>
      </w:r>
      <w:r w:rsidRPr="002D2274">
        <w:t xml:space="preserve"> Priority for TQP projects?</w:t>
      </w:r>
      <w:bookmarkEnd w:id="98"/>
      <w:bookmarkEnd w:id="99"/>
    </w:p>
    <w:p w14:paraId="6A4DA8C0" w14:textId="73722F1F" w:rsidR="002D2274" w:rsidRDefault="002D2274" w:rsidP="002D2274">
      <w:r w:rsidRPr="00C57FC8">
        <w:t>No</w:t>
      </w:r>
      <w:r>
        <w:t>. However, applicants that propose to prepare teachers to teach</w:t>
      </w:r>
      <w:r w:rsidR="00871C8A">
        <w:t xml:space="preserve"> in</w:t>
      </w:r>
      <w:r>
        <w:t xml:space="preserve"> early childhood education programs must focus their activities on providing project participants with the knowledge and skills they need in early childhood education</w:t>
      </w:r>
      <w:r w:rsidRPr="00C57FC8">
        <w:t>.</w:t>
      </w:r>
      <w:r>
        <w:t xml:space="preserve"> </w:t>
      </w:r>
      <w:r w:rsidR="00D47744">
        <w:t>See</w:t>
      </w:r>
      <w:r>
        <w:t xml:space="preserve"> HEA section</w:t>
      </w:r>
      <w:r w:rsidR="00D47744">
        <w:t>s</w:t>
      </w:r>
      <w:r w:rsidRPr="001A6081">
        <w:t xml:space="preserve"> 202(</w:t>
      </w:r>
      <w:r>
        <w:t>b)(6)(E)</w:t>
      </w:r>
      <w:r w:rsidR="00B22086">
        <w:t>(</w:t>
      </w:r>
      <w:proofErr w:type="spellStart"/>
      <w:r w:rsidR="00B22086">
        <w:t>i</w:t>
      </w:r>
      <w:proofErr w:type="spellEnd"/>
      <w:r w:rsidR="00B22086">
        <w:t>)</w:t>
      </w:r>
      <w:r>
        <w:t xml:space="preserve">, (b)(6)(K), </w:t>
      </w:r>
      <w:r w:rsidR="00D47744">
        <w:t xml:space="preserve">and </w:t>
      </w:r>
      <w:r>
        <w:t>(b)(7)(D</w:t>
      </w:r>
      <w:r w:rsidR="00D47744">
        <w:t>)</w:t>
      </w:r>
      <w:r w:rsidR="00B22086">
        <w:t>; HEA sections 200(4), 200(12), 200(17)(B)(iii), and 200(23)(H)</w:t>
      </w:r>
      <w:r w:rsidR="00D47744">
        <w:t>.</w:t>
      </w:r>
    </w:p>
    <w:p w14:paraId="7E86ABDF" w14:textId="7135759E" w:rsidR="00FB1B5A" w:rsidRDefault="00FB1B5A" w:rsidP="002D2274"/>
    <w:p w14:paraId="2AEE2CF4" w14:textId="77777777" w:rsidR="00FB1B5A" w:rsidRDefault="00FB1B5A" w:rsidP="002D2274"/>
    <w:p w14:paraId="3B3CFF39" w14:textId="0C9FE004" w:rsidR="00904C37" w:rsidRDefault="00904C37" w:rsidP="002D2274">
      <w:pPr>
        <w:pStyle w:val="Heading2"/>
      </w:pPr>
      <w:r>
        <w:t xml:space="preserve"> </w:t>
      </w:r>
      <w:bookmarkStart w:id="100" w:name="_Toc41670048"/>
      <w:r>
        <w:t>May a paraprofessional participate in a TQP project under this Absolute Priority?</w:t>
      </w:r>
      <w:bookmarkEnd w:id="100"/>
    </w:p>
    <w:p w14:paraId="6972A713" w14:textId="007591E7" w:rsidR="00357171" w:rsidRDefault="00A134CE" w:rsidP="002A24EC">
      <w:r>
        <w:t xml:space="preserve">Paraprofessionals may participate in a TQP grant under this Absolute Priority </w:t>
      </w:r>
      <w:r w:rsidR="00E65C87">
        <w:t>if</w:t>
      </w:r>
      <w:r>
        <w:t xml:space="preserve"> the</w:t>
      </w:r>
      <w:r w:rsidR="000209C1">
        <w:t xml:space="preserve"> paraprofessional</w:t>
      </w:r>
      <w:r>
        <w:t xml:space="preserve"> </w:t>
      </w:r>
      <w:r w:rsidR="00D62502">
        <w:t xml:space="preserve">is a recent graduate of a four-year IHE. </w:t>
      </w:r>
    </w:p>
    <w:p w14:paraId="404FCBC8" w14:textId="745D52C3" w:rsidR="002D2274" w:rsidRPr="002D2274" w:rsidRDefault="002D2274" w:rsidP="00E84003">
      <w:pPr>
        <w:pStyle w:val="Heading2"/>
      </w:pPr>
      <w:bookmarkStart w:id="101" w:name="_Toc41670049"/>
      <w:r w:rsidRPr="002D2274">
        <w:t>What is a “mid-career professional”?</w:t>
      </w:r>
      <w:bookmarkEnd w:id="101"/>
    </w:p>
    <w:p w14:paraId="50499611" w14:textId="77777777" w:rsidR="002D2274" w:rsidRPr="00FA069F" w:rsidRDefault="002D2274" w:rsidP="002D2274">
      <w:r w:rsidRPr="00FA069F">
        <w:lastRenderedPageBreak/>
        <w:t xml:space="preserve">A mid-career professional is someone in a profession other than teaching who has moved past entry-level but is not nearing the end of his or her career. A mid-career professional entering the teaching profession can bring specialized content knowledge, often in hard-to-staff subjects, into schools for the benefit of students. TQP </w:t>
      </w:r>
      <w:r>
        <w:t>applicants</w:t>
      </w:r>
      <w:r w:rsidRPr="00FA069F">
        <w:t xml:space="preserve"> might consider factors such as the following when designing a teacher preparation program that includes mid-career professionals:</w:t>
      </w:r>
    </w:p>
    <w:p w14:paraId="320EDEEC" w14:textId="77777777" w:rsidR="002D2274" w:rsidRPr="00FA069F" w:rsidRDefault="002D2274" w:rsidP="002D2274">
      <w:pPr>
        <w:pStyle w:val="ListParagraph"/>
        <w:numPr>
          <w:ilvl w:val="0"/>
          <w:numId w:val="21"/>
        </w:numPr>
      </w:pPr>
      <w:r w:rsidRPr="00FA069F">
        <w:t>Skills, certifications, and other professional qualifications</w:t>
      </w:r>
      <w:r>
        <w:t xml:space="preserve">; </w:t>
      </w:r>
    </w:p>
    <w:p w14:paraId="7F8AC7EA" w14:textId="77777777" w:rsidR="002D2274" w:rsidRPr="00FA069F" w:rsidRDefault="002D2274" w:rsidP="002D2274">
      <w:pPr>
        <w:pStyle w:val="ListParagraph"/>
        <w:numPr>
          <w:ilvl w:val="0"/>
          <w:numId w:val="21"/>
        </w:numPr>
      </w:pPr>
      <w:r w:rsidRPr="00FA069F">
        <w:t>Relevance of the professional subject area expertise to the teaching need</w:t>
      </w:r>
      <w:r>
        <w:t xml:space="preserve">; </w:t>
      </w:r>
    </w:p>
    <w:p w14:paraId="0A246774" w14:textId="77777777" w:rsidR="002D2274" w:rsidRPr="00FA069F" w:rsidRDefault="002D2274" w:rsidP="002D2274">
      <w:pPr>
        <w:pStyle w:val="ListParagraph"/>
        <w:numPr>
          <w:ilvl w:val="0"/>
          <w:numId w:val="21"/>
        </w:numPr>
      </w:pPr>
      <w:r w:rsidRPr="00FA069F">
        <w:t>Years in the profession</w:t>
      </w:r>
      <w:r>
        <w:t>; and</w:t>
      </w:r>
      <w:r w:rsidR="00E010CC">
        <w:t>/or</w:t>
      </w:r>
    </w:p>
    <w:p w14:paraId="3552B164" w14:textId="6D18FD05" w:rsidR="00456B35" w:rsidRDefault="002D2274" w:rsidP="00B516B4">
      <w:pPr>
        <w:pStyle w:val="ListParagraph"/>
        <w:numPr>
          <w:ilvl w:val="0"/>
          <w:numId w:val="21"/>
        </w:numPr>
      </w:pPr>
      <w:r w:rsidRPr="00FA069F">
        <w:t>Supervisory status</w:t>
      </w:r>
      <w:r>
        <w:t>.</w:t>
      </w:r>
    </w:p>
    <w:p w14:paraId="68D9ED14" w14:textId="77777777" w:rsidR="00904C37" w:rsidRDefault="00904C37" w:rsidP="00904C37">
      <w:pPr>
        <w:pStyle w:val="Heading1"/>
      </w:pPr>
      <w:bookmarkStart w:id="102" w:name="_Toc41670050"/>
      <w:bookmarkStart w:id="103" w:name="_Toc513617693"/>
      <w:r w:rsidRPr="00F71882">
        <w:t>Evaluation Questions</w:t>
      </w:r>
      <w:bookmarkEnd w:id="102"/>
    </w:p>
    <w:p w14:paraId="0B68F93A" w14:textId="77777777" w:rsidR="00904C37" w:rsidRPr="002D2274" w:rsidRDefault="00904C37" w:rsidP="00904C37">
      <w:pPr>
        <w:pStyle w:val="Heading2"/>
      </w:pPr>
      <w:bookmarkStart w:id="104" w:name="_Toc41670051"/>
      <w:r w:rsidRPr="002D2274">
        <w:t>What measures should be included in the applicant’s evaluation plan?</w:t>
      </w:r>
      <w:bookmarkEnd w:id="104"/>
    </w:p>
    <w:p w14:paraId="552DDB32" w14:textId="77777777" w:rsidR="00904C37" w:rsidRPr="002D2274" w:rsidRDefault="00904C37" w:rsidP="00904C37">
      <w:pPr>
        <w:rPr>
          <w:b/>
        </w:rPr>
      </w:pPr>
      <w:r w:rsidRPr="00F71882">
        <w:t xml:space="preserve">Applicants should </w:t>
      </w:r>
      <w:r>
        <w:t xml:space="preserve">include both </w:t>
      </w:r>
      <w:r w:rsidRPr="00F71882">
        <w:t xml:space="preserve">the </w:t>
      </w:r>
      <w:r>
        <w:t>Government Performance and Results Act of 1993 (GPRA)</w:t>
      </w:r>
      <w:r w:rsidRPr="00F71882">
        <w:t xml:space="preserve"> measures </w:t>
      </w:r>
      <w:r>
        <w:t xml:space="preserve">found in the FY 2020 NIA and measures that are unique to the applicant’s project as part of their evaluation plan. Applicants will report on all these measures annually as part of the annual performance report. Several of the TQP GPRA measures do not yield results in Years 1 and 2. An explanation of how to report on these measures and possible options to reduce the grantee reporting burden will be provided to successful applicants shortly after awards have been made. </w:t>
      </w:r>
    </w:p>
    <w:p w14:paraId="5B3EDEAF" w14:textId="77777777" w:rsidR="00904C37" w:rsidRPr="002D2274" w:rsidRDefault="00904C37" w:rsidP="00904C37">
      <w:pPr>
        <w:pStyle w:val="Heading2"/>
      </w:pPr>
      <w:bookmarkStart w:id="105" w:name="_Toc41670052"/>
      <w:r w:rsidRPr="002D2274">
        <w:t>In evaluating TQP projects, must eligible partnerships use an outside evaluator?</w:t>
      </w:r>
      <w:bookmarkEnd w:id="105"/>
      <w:r w:rsidRPr="002D2274">
        <w:t xml:space="preserve"> </w:t>
      </w:r>
    </w:p>
    <w:p w14:paraId="15F1D165" w14:textId="77777777" w:rsidR="00904C37" w:rsidRDefault="00904C37" w:rsidP="00904C37">
      <w:r w:rsidRPr="00C57FC8">
        <w:t>No.</w:t>
      </w:r>
      <w:r>
        <w:t xml:space="preserve"> Those eligible applicants that wish to use an outside evaluator may also wish to consider selecting the evaluator and identifying it in the application using </w:t>
      </w:r>
      <w:r w:rsidRPr="00FA3100">
        <w:t xml:space="preserve">procedures in </w:t>
      </w:r>
      <w:hyperlink r:id="rId15" w:history="1">
        <w:r w:rsidRPr="00FA3100">
          <w:rPr>
            <w:rStyle w:val="Hyperlink"/>
            <w:rFonts w:eastAsia="Times New Roman" w:cs="Arial"/>
            <w:color w:val="auto"/>
            <w:u w:val="none"/>
          </w:rPr>
          <w:t xml:space="preserve">34 CFR </w:t>
        </w:r>
        <w:r w:rsidRPr="00FA3100">
          <w:rPr>
            <w:rFonts w:cs="Times New Roman"/>
            <w:bCs/>
          </w:rPr>
          <w:t>§</w:t>
        </w:r>
        <w:r w:rsidRPr="00FA3100">
          <w:rPr>
            <w:rStyle w:val="Hyperlink"/>
            <w:rFonts w:eastAsia="Times New Roman" w:cs="Arial"/>
            <w:color w:val="auto"/>
            <w:u w:val="none"/>
          </w:rPr>
          <w:t>75.135</w:t>
        </w:r>
      </w:hyperlink>
      <w:r w:rsidRPr="00FA3100">
        <w:rPr>
          <w:rStyle w:val="Hyperlink"/>
          <w:rFonts w:eastAsia="Times New Roman" w:cs="Arial"/>
          <w:color w:val="auto"/>
          <w:u w:val="none"/>
        </w:rPr>
        <w:t xml:space="preserve">, which </w:t>
      </w:r>
      <w:r w:rsidRPr="00FA3100">
        <w:t xml:space="preserve">allows </w:t>
      </w:r>
      <w:r>
        <w:t>a</w:t>
      </w:r>
      <w:r w:rsidRPr="00BC020D">
        <w:t xml:space="preserve"> contract for data collection, data analysis, evaluation s</w:t>
      </w:r>
      <w:r>
        <w:t>ervices, or essential services to use</w:t>
      </w:r>
      <w:r w:rsidRPr="00BC020D">
        <w:t xml:space="preserve"> the informal, small-purchase procurement procedures in </w:t>
      </w:r>
      <w:r>
        <w:t xml:space="preserve">the Uniform Guidance. See </w:t>
      </w:r>
      <w:r w:rsidRPr="00BC020D">
        <w:t xml:space="preserve">2 CFR </w:t>
      </w:r>
      <w:r w:rsidRPr="00CE6D65">
        <w:rPr>
          <w:rFonts w:cs="Times New Roman"/>
          <w:bCs/>
        </w:rPr>
        <w:t>§</w:t>
      </w:r>
      <w:r w:rsidRPr="00BC020D">
        <w:t>200.320(b)</w:t>
      </w:r>
      <w:r w:rsidRPr="00C57FC8">
        <w:t>.</w:t>
      </w:r>
      <w:r>
        <w:t xml:space="preserve"> </w:t>
      </w:r>
    </w:p>
    <w:p w14:paraId="11745F3A" w14:textId="396AECC9" w:rsidR="00904C37" w:rsidRDefault="00904C37" w:rsidP="00E65C87">
      <w:r>
        <w:t xml:space="preserve">Whether or not the eligible partnership uses an outside evaluator, the Department strongly recommends that applicants </w:t>
      </w:r>
      <w:r w:rsidRPr="00C57FC8">
        <w:t xml:space="preserve">provide a detailed list of responsibilities for the </w:t>
      </w:r>
      <w:r>
        <w:t xml:space="preserve">selected </w:t>
      </w:r>
      <w:r w:rsidRPr="00C57FC8">
        <w:t xml:space="preserve">evaluator in </w:t>
      </w:r>
      <w:r>
        <w:t>its</w:t>
      </w:r>
      <w:r w:rsidRPr="00C57FC8">
        <w:t xml:space="preserve"> application.</w:t>
      </w:r>
    </w:p>
    <w:p w14:paraId="1C03BCBF" w14:textId="28592EF6" w:rsidR="002D2274" w:rsidRPr="00C57FC8" w:rsidRDefault="002D2274" w:rsidP="002D2274">
      <w:pPr>
        <w:pStyle w:val="Heading1"/>
      </w:pPr>
      <w:bookmarkStart w:id="106" w:name="_Toc41670053"/>
      <w:r w:rsidRPr="00C57FC8">
        <w:t>Budget Questions</w:t>
      </w:r>
      <w:bookmarkEnd w:id="103"/>
      <w:bookmarkEnd w:id="106"/>
    </w:p>
    <w:p w14:paraId="79C47BF8" w14:textId="506D6ACD" w:rsidR="002D2274" w:rsidRDefault="002D2274" w:rsidP="00717B2E">
      <w:pPr>
        <w:pStyle w:val="Heading2"/>
        <w:numPr>
          <w:ilvl w:val="0"/>
          <w:numId w:val="0"/>
        </w:numPr>
        <w:ind w:left="360"/>
      </w:pPr>
      <w:bookmarkStart w:id="107" w:name="_Toc513362839"/>
      <w:bookmarkStart w:id="108" w:name="_Toc513365372"/>
      <w:bookmarkStart w:id="109" w:name="_Toc513371590"/>
      <w:bookmarkStart w:id="110" w:name="_Toc513375330"/>
      <w:bookmarkStart w:id="111" w:name="_Toc513376688"/>
      <w:bookmarkStart w:id="112" w:name="_Toc513376739"/>
      <w:bookmarkStart w:id="113" w:name="_Toc513376842"/>
      <w:bookmarkStart w:id="114" w:name="_Toc513376894"/>
      <w:bookmarkStart w:id="115" w:name="_Toc513362840"/>
      <w:bookmarkStart w:id="116" w:name="_Toc513365373"/>
      <w:bookmarkStart w:id="117" w:name="_Toc513371591"/>
      <w:bookmarkStart w:id="118" w:name="_Toc513375331"/>
      <w:bookmarkStart w:id="119" w:name="_Toc513376689"/>
      <w:bookmarkStart w:id="120" w:name="_Toc513376740"/>
      <w:bookmarkStart w:id="121" w:name="_Toc513376843"/>
      <w:bookmarkStart w:id="122" w:name="_Toc51337689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1D4D687" w14:textId="77777777" w:rsidR="002D2274" w:rsidRPr="002D2274" w:rsidRDefault="002D2274" w:rsidP="002D2274">
      <w:pPr>
        <w:pStyle w:val="Heading2"/>
      </w:pPr>
      <w:bookmarkStart w:id="123" w:name="_Toc513617697"/>
      <w:bookmarkStart w:id="124" w:name="_Toc41670054"/>
      <w:r w:rsidRPr="002D2274">
        <w:t>What is the limitation on administrative expenses for the grant?</w:t>
      </w:r>
      <w:bookmarkEnd w:id="123"/>
      <w:bookmarkEnd w:id="124"/>
    </w:p>
    <w:p w14:paraId="5D36AF37" w14:textId="10A71F1B" w:rsidR="00E94E46" w:rsidRDefault="002D2274" w:rsidP="002D2274">
      <w:r w:rsidRPr="00E94E46">
        <w:t>Per HEA section 203(d), an eligible partnership that receives a grant may use not more than two percent of the funds provided to administer the grant</w:t>
      </w:r>
      <w:r w:rsidR="00E94E46">
        <w:t>. Applicants are strongly encouraged to provide a detail</w:t>
      </w:r>
      <w:r w:rsidR="00382671">
        <w:t>ed</w:t>
      </w:r>
      <w:r w:rsidR="00E94E46">
        <w:t xml:space="preserve"> budget narrative that explains how their proposed budget adheres to the two percent adminis</w:t>
      </w:r>
      <w:r w:rsidR="00EA7882">
        <w:t>trative cost</w:t>
      </w:r>
      <w:r w:rsidR="00E94E46">
        <w:t xml:space="preserve"> cap. More information on the administrative cap, including a webinar describing the cap, can be found on the </w:t>
      </w:r>
      <w:r w:rsidR="000D1D7A" w:rsidRPr="000D1D7A">
        <w:t>TQP program Website</w:t>
      </w:r>
      <w:r w:rsidR="00E94E46">
        <w:t>.</w:t>
      </w:r>
    </w:p>
    <w:p w14:paraId="7661001C" w14:textId="77777777" w:rsidR="00717B2E" w:rsidRPr="00E94E46" w:rsidRDefault="00717B2E" w:rsidP="002D2274"/>
    <w:p w14:paraId="15ECB756" w14:textId="77777777" w:rsidR="002D2274" w:rsidRPr="001A6081" w:rsidRDefault="002D2274" w:rsidP="002D2274">
      <w:pPr>
        <w:pStyle w:val="Heading2"/>
      </w:pPr>
      <w:bookmarkStart w:id="125" w:name="_Toc513617698"/>
      <w:bookmarkStart w:id="126" w:name="_Toc41670055"/>
      <w:r w:rsidRPr="001A6081">
        <w:t xml:space="preserve">How does an eligible partnership determine the amount of indirect costs that it may charge to </w:t>
      </w:r>
      <w:r w:rsidR="00E949AE">
        <w:t>the TQP grant</w:t>
      </w:r>
      <w:r w:rsidRPr="001A6081">
        <w:t>?</w:t>
      </w:r>
      <w:bookmarkEnd w:id="125"/>
      <w:bookmarkEnd w:id="126"/>
    </w:p>
    <w:p w14:paraId="35422D5E" w14:textId="77777777" w:rsidR="002D2274" w:rsidRDefault="002D2274" w:rsidP="002D2274">
      <w:r>
        <w:t xml:space="preserve">Under 34 CFR </w:t>
      </w:r>
      <w:r w:rsidRPr="00AA34EE">
        <w:rPr>
          <w:rFonts w:cs="Times New Roman"/>
        </w:rPr>
        <w:t>§</w:t>
      </w:r>
      <w:r>
        <w:t xml:space="preserve">75.563 and </w:t>
      </w:r>
      <w:r w:rsidRPr="00CE6D65">
        <w:rPr>
          <w:rFonts w:cs="Times New Roman"/>
        </w:rPr>
        <w:t>§</w:t>
      </w:r>
      <w:r>
        <w:t xml:space="preserve">76.563(c), the indirect cost rate that an eligible applicant may use to charge indirect costs to TQP funds may be no more than eight percent. In addition, because the TQP eligible </w:t>
      </w:r>
      <w:r w:rsidR="0006633A">
        <w:t>partnership</w:t>
      </w:r>
      <w:r>
        <w:t xml:space="preserve"> is a group applicant (see 34 </w:t>
      </w:r>
      <w:r w:rsidRPr="00CE6D65">
        <w:rPr>
          <w:rFonts w:cs="Times New Roman"/>
        </w:rPr>
        <w:t>§§</w:t>
      </w:r>
      <w:r w:rsidR="0006633A">
        <w:t>CFR 75.127-7</w:t>
      </w:r>
      <w:r>
        <w:t xml:space="preserve">5.129), under 34 CFR </w:t>
      </w:r>
      <w:r w:rsidRPr="00CE6D65">
        <w:rPr>
          <w:rFonts w:cs="Times New Roman"/>
        </w:rPr>
        <w:t>§</w:t>
      </w:r>
      <w:r>
        <w:t>75.564(e), t</w:t>
      </w:r>
      <w:r w:rsidRPr="00C57FC8">
        <w:t xml:space="preserve">he </w:t>
      </w:r>
      <w:r>
        <w:t xml:space="preserve">eligible partnership must use a restricted indirect cost rate (RICR) that is no greater than the amount of the lead </w:t>
      </w:r>
      <w:r>
        <w:lastRenderedPageBreak/>
        <w:t xml:space="preserve">applicant’s RICR if that rate is less than eight percent. Under 34 CFR </w:t>
      </w:r>
      <w:r w:rsidRPr="00CE6D65">
        <w:rPr>
          <w:rFonts w:cs="Times New Roman"/>
        </w:rPr>
        <w:t>§</w:t>
      </w:r>
      <w:r>
        <w:t xml:space="preserve">75.128(b), the members of the eligible partnership need to enter into an agreement that details the responsibilities of each partner, and this agreement should, among other things, identify how indirect costs will be apportioned among members of the eligible partnership. </w:t>
      </w:r>
      <w:r w:rsidRPr="00307381">
        <w:t>For more information on indirect costs, see 34 CFR</w:t>
      </w:r>
      <w:r w:rsidRPr="00A56B27">
        <w:t xml:space="preserve"> </w:t>
      </w:r>
      <w:r w:rsidRPr="00A56B27">
        <w:rPr>
          <w:rFonts w:cs="Times New Roman"/>
        </w:rPr>
        <w:t>§</w:t>
      </w:r>
      <w:r w:rsidRPr="00CE6D65">
        <w:rPr>
          <w:rFonts w:cs="Times New Roman"/>
        </w:rPr>
        <w:t>§</w:t>
      </w:r>
      <w:r w:rsidRPr="00307381">
        <w:t xml:space="preserve">75.560-75.561 and </w:t>
      </w:r>
      <w:r w:rsidRPr="00CE6D65">
        <w:rPr>
          <w:rFonts w:cs="Times New Roman"/>
        </w:rPr>
        <w:t>§§</w:t>
      </w:r>
      <w:r w:rsidRPr="00307381">
        <w:t>75.563-75.564.</w:t>
      </w:r>
    </w:p>
    <w:p w14:paraId="46D341CB" w14:textId="77777777" w:rsidR="002D2274" w:rsidRPr="002D2274" w:rsidRDefault="002D2274" w:rsidP="002D2274">
      <w:pPr>
        <w:pStyle w:val="Heading2"/>
      </w:pPr>
      <w:bookmarkStart w:id="127" w:name="_Toc513617699"/>
      <w:bookmarkStart w:id="128" w:name="_Toc41670056"/>
      <w:r w:rsidRPr="002D2274">
        <w:t>How may a lead applicant that does not have a</w:t>
      </w:r>
      <w:r w:rsidR="006D13EA">
        <w:t xml:space="preserve">n </w:t>
      </w:r>
      <w:r w:rsidRPr="002D2274">
        <w:t>RICR obtain one?</w:t>
      </w:r>
      <w:bookmarkEnd w:id="127"/>
      <w:bookmarkEnd w:id="128"/>
    </w:p>
    <w:p w14:paraId="318FF000" w14:textId="77777777" w:rsidR="002D2274" w:rsidRPr="00C57FC8" w:rsidRDefault="002D2274" w:rsidP="002D2274">
      <w:r w:rsidRPr="00C57FC8">
        <w:t>If a</w:t>
      </w:r>
      <w:r>
        <w:t xml:space="preserve"> lead</w:t>
      </w:r>
      <w:r w:rsidRPr="00C57FC8">
        <w:t xml:space="preserve"> applicant that does not have an approved </w:t>
      </w:r>
      <w:r>
        <w:t xml:space="preserve">RICR </w:t>
      </w:r>
      <w:r w:rsidRPr="00C57FC8">
        <w:t xml:space="preserve">would like to </w:t>
      </w:r>
      <w:r>
        <w:t>obtain</w:t>
      </w:r>
      <w:r w:rsidRPr="00C57FC8">
        <w:t xml:space="preserve"> one, please email the </w:t>
      </w:r>
      <w:r>
        <w:t>Department’s Indirect Cost Rate</w:t>
      </w:r>
      <w:r w:rsidRPr="00C57FC8">
        <w:t xml:space="preserve"> Group at </w:t>
      </w:r>
      <w:hyperlink r:id="rId16" w:history="1">
        <w:r w:rsidRPr="00C57FC8">
          <w:rPr>
            <w:rStyle w:val="Hyperlink"/>
            <w:rFonts w:eastAsia="Times New Roman" w:cs="Arial"/>
          </w:rPr>
          <w:t>IndirectCostGroup@ed.gov</w:t>
        </w:r>
      </w:hyperlink>
      <w:r w:rsidRPr="00C57FC8">
        <w:t xml:space="preserve"> for instructions. </w:t>
      </w:r>
      <w:r>
        <w:t>The Department</w:t>
      </w:r>
      <w:r w:rsidDel="006D13EA">
        <w:t xml:space="preserve"> </w:t>
      </w:r>
      <w:r>
        <w:t>will provide direct support if it is the cognizant Federal agency.</w:t>
      </w:r>
      <w:r w:rsidR="00D042F0">
        <w:t xml:space="preserve"> </w:t>
      </w:r>
      <w:r>
        <w:t xml:space="preserve">The cognizant Federal agency is the Federal agency that </w:t>
      </w:r>
      <w:r w:rsidRPr="00C57FC8">
        <w:t>provid</w:t>
      </w:r>
      <w:r>
        <w:t>es</w:t>
      </w:r>
      <w:r w:rsidRPr="00C57FC8">
        <w:t xml:space="preserve"> the most direct </w:t>
      </w:r>
      <w:r>
        <w:t>F</w:t>
      </w:r>
      <w:r w:rsidRPr="00C57FC8">
        <w:t>ederal funding</w:t>
      </w:r>
      <w:r>
        <w:t xml:space="preserve"> to the lead applicant</w:t>
      </w:r>
      <w:r w:rsidRPr="00C57FC8">
        <w:t>.</w:t>
      </w:r>
    </w:p>
    <w:p w14:paraId="79D18291" w14:textId="3EC490C7" w:rsidR="002D2274" w:rsidRDefault="002D2274" w:rsidP="00FA3100"/>
    <w:p w14:paraId="15F2F7A4" w14:textId="7DA85F3E" w:rsidR="00717B2E" w:rsidRPr="002D2274" w:rsidRDefault="00717B2E" w:rsidP="00717B2E">
      <w:r>
        <w:t xml:space="preserve">*Please review the </w:t>
      </w:r>
      <w:r w:rsidRPr="00717B2E">
        <w:rPr>
          <w:b/>
          <w:bCs/>
        </w:rPr>
        <w:t>EED Division Match/Cost Share FAQ</w:t>
      </w:r>
      <w:r>
        <w:t xml:space="preserve"> documents for additional information on match/cost share for EED programs.</w:t>
      </w:r>
    </w:p>
    <w:sectPr w:rsidR="00717B2E" w:rsidRPr="002D2274" w:rsidSect="008C6018">
      <w:footerReference w:type="default" r:id="rId17"/>
      <w:headerReference w:type="first" r:id="rId1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CD8D" w14:textId="77777777" w:rsidR="00EC4307" w:rsidRDefault="00EC4307" w:rsidP="002D2274">
      <w:pPr>
        <w:spacing w:after="0"/>
      </w:pPr>
      <w:r>
        <w:separator/>
      </w:r>
    </w:p>
  </w:endnote>
  <w:endnote w:type="continuationSeparator" w:id="0">
    <w:p w14:paraId="32210067" w14:textId="77777777" w:rsidR="00EC4307" w:rsidRDefault="00EC4307" w:rsidP="002D2274">
      <w:pPr>
        <w:spacing w:after="0"/>
      </w:pPr>
      <w:r>
        <w:continuationSeparator/>
      </w:r>
    </w:p>
  </w:endnote>
  <w:endnote w:type="continuationNotice" w:id="1">
    <w:p w14:paraId="5DE03462" w14:textId="77777777" w:rsidR="00EC4307" w:rsidRDefault="00EC43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34880"/>
      <w:docPartObj>
        <w:docPartGallery w:val="Page Numbers (Bottom of Page)"/>
        <w:docPartUnique/>
      </w:docPartObj>
    </w:sdtPr>
    <w:sdtEndPr>
      <w:rPr>
        <w:noProof/>
      </w:rPr>
    </w:sdtEndPr>
    <w:sdtContent>
      <w:p w14:paraId="3876AF55" w14:textId="77777777" w:rsidR="000538CD" w:rsidRDefault="000538CD">
        <w:pPr>
          <w:pStyle w:val="Footer"/>
          <w:jc w:val="center"/>
        </w:pPr>
        <w:r>
          <w:fldChar w:fldCharType="begin"/>
        </w:r>
        <w:r>
          <w:instrText xml:space="preserve"> PAGE   \* MERGEFORMAT </w:instrText>
        </w:r>
        <w:r>
          <w:fldChar w:fldCharType="separate"/>
        </w:r>
        <w:r w:rsidR="00592B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7DD2" w14:textId="77777777" w:rsidR="00EC4307" w:rsidRDefault="00EC4307" w:rsidP="002D2274">
      <w:pPr>
        <w:spacing w:after="0"/>
      </w:pPr>
      <w:r>
        <w:separator/>
      </w:r>
    </w:p>
  </w:footnote>
  <w:footnote w:type="continuationSeparator" w:id="0">
    <w:p w14:paraId="450BC367" w14:textId="77777777" w:rsidR="00EC4307" w:rsidRDefault="00EC4307" w:rsidP="002D2274">
      <w:pPr>
        <w:spacing w:after="0"/>
      </w:pPr>
      <w:r>
        <w:continuationSeparator/>
      </w:r>
    </w:p>
  </w:footnote>
  <w:footnote w:type="continuationNotice" w:id="1">
    <w:p w14:paraId="088EBF5A" w14:textId="77777777" w:rsidR="00EC4307" w:rsidRDefault="00EC4307">
      <w:pPr>
        <w:spacing w:after="0"/>
      </w:pPr>
    </w:p>
  </w:footnote>
  <w:footnote w:id="2">
    <w:p w14:paraId="70F7F570" w14:textId="340F7D52" w:rsidR="000538CD" w:rsidRPr="002D2274" w:rsidRDefault="000538CD" w:rsidP="002D2274">
      <w:pPr>
        <w:pStyle w:val="FootnoteText"/>
        <w:rPr>
          <w:sz w:val="18"/>
        </w:rPr>
      </w:pPr>
      <w:r>
        <w:rPr>
          <w:rStyle w:val="FootnoteReference"/>
        </w:rPr>
        <w:footnoteRef/>
      </w:r>
      <w:r>
        <w:t xml:space="preserve"> </w:t>
      </w:r>
      <w:r w:rsidRPr="002D2274">
        <w:rPr>
          <w:sz w:val="18"/>
        </w:rPr>
        <w:t>The purpose of this guidance is to provide information about the FY 20</w:t>
      </w:r>
      <w:r w:rsidR="00C92BE4">
        <w:rPr>
          <w:sz w:val="18"/>
        </w:rPr>
        <w:t>20</w:t>
      </w:r>
      <w:r w:rsidRPr="002D2274">
        <w:rPr>
          <w:sz w:val="18"/>
        </w:rPr>
        <w:t xml:space="preserve"> Teacher Quality Partnership (TQP)</w:t>
      </w:r>
    </w:p>
    <w:p w14:paraId="738FC41E" w14:textId="77777777" w:rsidR="000538CD" w:rsidRDefault="000538CD" w:rsidP="002D2274">
      <w:pPr>
        <w:pStyle w:val="FootnoteText"/>
      </w:pPr>
      <w:r w:rsidRPr="002D2274">
        <w:rPr>
          <w:sz w:val="18"/>
        </w:rPr>
        <w:t>Program competition. This guidance does not impose</w:t>
      </w:r>
      <w:r w:rsidR="00812635">
        <w:rPr>
          <w:sz w:val="18"/>
        </w:rPr>
        <w:t xml:space="preserve"> any requirements beyond those </w:t>
      </w:r>
      <w:r w:rsidRPr="002D2274">
        <w:rPr>
          <w:sz w:val="18"/>
        </w:rPr>
        <w:t xml:space="preserve">in the TQP program statute (20 U.S.C. §§1021—1022h), </w:t>
      </w:r>
      <w:r w:rsidR="00812635" w:rsidRPr="002D2274">
        <w:rPr>
          <w:sz w:val="18"/>
        </w:rPr>
        <w:t>the Notice Inviting Applications (NIA)</w:t>
      </w:r>
      <w:r w:rsidR="00812635">
        <w:rPr>
          <w:sz w:val="18"/>
        </w:rPr>
        <w:t xml:space="preserve">, </w:t>
      </w:r>
      <w:r w:rsidR="00FD023E">
        <w:rPr>
          <w:sz w:val="18"/>
        </w:rPr>
        <w:t xml:space="preserve">34 CFR part 75, </w:t>
      </w:r>
      <w:r w:rsidR="00B21BCB">
        <w:rPr>
          <w:sz w:val="18"/>
        </w:rPr>
        <w:t xml:space="preserve">2 CFR part 200, </w:t>
      </w:r>
      <w:r w:rsidR="00812635">
        <w:rPr>
          <w:sz w:val="18"/>
        </w:rPr>
        <w:t xml:space="preserve">or </w:t>
      </w:r>
      <w:r w:rsidRPr="002D2274">
        <w:rPr>
          <w:sz w:val="18"/>
        </w:rPr>
        <w:t xml:space="preserve">other applicable regulations. The Department will provide additional or updated program guidance, as necessary, on its TQP program web site: </w:t>
      </w:r>
      <w:hyperlink r:id="rId1" w:history="1">
        <w:r w:rsidRPr="002D2274">
          <w:rPr>
            <w:rStyle w:val="Hyperlink"/>
            <w:sz w:val="18"/>
          </w:rPr>
          <w:t>http://innovation.ed.gov/what-we-do/teacher-quality/teacher-quality-partnership/</w:t>
        </w:r>
      </w:hyperlink>
      <w:r w:rsidRPr="002D2274">
        <w:rPr>
          <w:sz w:val="18"/>
        </w:rPr>
        <w:t xml:space="preserve">. If you have further questions that are not answered here or have comments regarding this guidance, please email </w:t>
      </w:r>
      <w:hyperlink r:id="rId2" w:history="1">
        <w:r w:rsidRPr="002D2274">
          <w:rPr>
            <w:rStyle w:val="Hyperlink"/>
            <w:sz w:val="18"/>
          </w:rPr>
          <w:t>TQPartnership@ed.gov</w:t>
        </w:r>
      </w:hyperlink>
      <w:r w:rsidRPr="002D2274">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4583" w14:textId="35BD14EA" w:rsidR="008C6018" w:rsidRPr="008C6018" w:rsidRDefault="008C6018" w:rsidP="008C6018">
    <w:pPr>
      <w:jc w:val="both"/>
      <w:rPr>
        <w:i/>
        <w:iCs/>
        <w:sz w:val="20"/>
        <w:szCs w:val="20"/>
      </w:rPr>
    </w:pPr>
    <w:r w:rsidRPr="008C6018">
      <w:rPr>
        <w:i/>
        <w:iCs/>
        <w:sz w:val="20"/>
        <w:szCs w:val="20"/>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521"/>
    <w:multiLevelType w:val="hybridMultilevel"/>
    <w:tmpl w:val="E568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F7940"/>
    <w:multiLevelType w:val="hybridMultilevel"/>
    <w:tmpl w:val="BC688E9A"/>
    <w:lvl w:ilvl="0" w:tplc="6F24543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96062D7"/>
    <w:multiLevelType w:val="hybridMultilevel"/>
    <w:tmpl w:val="538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105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1AA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24B2B"/>
    <w:multiLevelType w:val="hybridMultilevel"/>
    <w:tmpl w:val="603412C2"/>
    <w:lvl w:ilvl="0" w:tplc="703AC558">
      <w:start w:val="1"/>
      <w:numFmt w:val="decimal"/>
      <w:pStyle w:val="Heading2"/>
      <w:lvlText w:val="%1."/>
      <w:lvlJc w:val="left"/>
      <w:pPr>
        <w:ind w:left="360" w:hanging="360"/>
      </w:pPr>
      <w:rPr>
        <w:rFonts w:hint="default"/>
      </w:rPr>
    </w:lvl>
    <w:lvl w:ilvl="1" w:tplc="CB2AAB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24B85"/>
    <w:multiLevelType w:val="hybridMultilevel"/>
    <w:tmpl w:val="F910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15BC4"/>
    <w:multiLevelType w:val="hybridMultilevel"/>
    <w:tmpl w:val="956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93F59"/>
    <w:multiLevelType w:val="hybridMultilevel"/>
    <w:tmpl w:val="191E1BBA"/>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91465"/>
    <w:multiLevelType w:val="hybridMultilevel"/>
    <w:tmpl w:val="3DF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1101"/>
    <w:multiLevelType w:val="hybridMultilevel"/>
    <w:tmpl w:val="1D8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C7F06"/>
    <w:multiLevelType w:val="hybridMultilevel"/>
    <w:tmpl w:val="A4561792"/>
    <w:lvl w:ilvl="0" w:tplc="BB2C337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E04AA"/>
    <w:multiLevelType w:val="hybridMultilevel"/>
    <w:tmpl w:val="539028AE"/>
    <w:lvl w:ilvl="0" w:tplc="A1060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191528"/>
    <w:multiLevelType w:val="hybridMultilevel"/>
    <w:tmpl w:val="34A88E16"/>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1699F"/>
    <w:multiLevelType w:val="hybridMultilevel"/>
    <w:tmpl w:val="EAC04C1C"/>
    <w:lvl w:ilvl="0" w:tplc="04B4B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68D2"/>
    <w:multiLevelType w:val="hybridMultilevel"/>
    <w:tmpl w:val="66A08698"/>
    <w:lvl w:ilvl="0" w:tplc="5E52EDC0">
      <w:start w:val="1"/>
      <w:numFmt w:val="decimal"/>
      <w:lvlText w:val="%1."/>
      <w:lvlJc w:val="left"/>
      <w:pPr>
        <w:ind w:left="720" w:hanging="360"/>
      </w:pPr>
      <w:rPr>
        <w:rFonts w:eastAsia="Times New Roman" w:hint="default"/>
        <w:color w:val="030A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114C2"/>
    <w:multiLevelType w:val="hybridMultilevel"/>
    <w:tmpl w:val="D16A4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295B"/>
    <w:multiLevelType w:val="hybridMultilevel"/>
    <w:tmpl w:val="B91AA536"/>
    <w:lvl w:ilvl="0" w:tplc="04090001">
      <w:start w:val="1"/>
      <w:numFmt w:val="bullet"/>
      <w:lvlText w:val=""/>
      <w:lvlJc w:val="left"/>
      <w:pPr>
        <w:ind w:left="720" w:hanging="360"/>
      </w:pPr>
      <w:rPr>
        <w:rFonts w:ascii="Symbol" w:hAnsi="Symbol" w:hint="default"/>
      </w:rPr>
    </w:lvl>
    <w:lvl w:ilvl="1" w:tplc="94669F2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5BE5"/>
    <w:multiLevelType w:val="hybridMultilevel"/>
    <w:tmpl w:val="C82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503C3"/>
    <w:multiLevelType w:val="hybridMultilevel"/>
    <w:tmpl w:val="9F0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E4107"/>
    <w:multiLevelType w:val="hybridMultilevel"/>
    <w:tmpl w:val="ACD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205C"/>
    <w:multiLevelType w:val="hybridMultilevel"/>
    <w:tmpl w:val="404E3CE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392"/>
    <w:multiLevelType w:val="hybridMultilevel"/>
    <w:tmpl w:val="C49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7706F"/>
    <w:multiLevelType w:val="hybridMultilevel"/>
    <w:tmpl w:val="3B1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30069"/>
    <w:multiLevelType w:val="hybridMultilevel"/>
    <w:tmpl w:val="E65CD85C"/>
    <w:lvl w:ilvl="0" w:tplc="A10606FA">
      <w:start w:val="1"/>
      <w:numFmt w:val="lowerLetter"/>
      <w:lvlText w:val="(%1)"/>
      <w:lvlJc w:val="left"/>
      <w:pPr>
        <w:ind w:left="720" w:hanging="360"/>
      </w:pPr>
      <w:rPr>
        <w:rFonts w:hint="default"/>
      </w:rPr>
    </w:lvl>
    <w:lvl w:ilvl="1" w:tplc="C4404A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A1001"/>
    <w:multiLevelType w:val="hybridMultilevel"/>
    <w:tmpl w:val="6CB61B24"/>
    <w:lvl w:ilvl="0" w:tplc="260A93E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A1474"/>
    <w:multiLevelType w:val="hybridMultilevel"/>
    <w:tmpl w:val="172C35E4"/>
    <w:lvl w:ilvl="0" w:tplc="556CA2E8">
      <w:start w:val="16"/>
      <w:numFmt w:val="decimal"/>
      <w:lvlText w:val="%1."/>
      <w:lvlJc w:val="left"/>
      <w:pPr>
        <w:ind w:left="360" w:hanging="360"/>
      </w:pPr>
      <w:rPr>
        <w:rFonts w:hint="default"/>
      </w:rPr>
    </w:lvl>
    <w:lvl w:ilvl="1" w:tplc="BB2C337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E95D12"/>
    <w:multiLevelType w:val="hybridMultilevel"/>
    <w:tmpl w:val="61300A42"/>
    <w:lvl w:ilvl="0" w:tplc="F6AE3420">
      <w:start w:val="1"/>
      <w:numFmt w:val="decimal"/>
      <w:lvlText w:val="%1."/>
      <w:lvlJc w:val="left"/>
      <w:pPr>
        <w:ind w:left="360" w:hanging="360"/>
      </w:pPr>
      <w:rPr>
        <w:rFonts w:cs="Helvetic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F2380E"/>
    <w:multiLevelType w:val="hybridMultilevel"/>
    <w:tmpl w:val="691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A1407"/>
    <w:multiLevelType w:val="hybridMultilevel"/>
    <w:tmpl w:val="056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086556"/>
    <w:multiLevelType w:val="hybridMultilevel"/>
    <w:tmpl w:val="BE2041A8"/>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3B1305"/>
    <w:multiLevelType w:val="hybridMultilevel"/>
    <w:tmpl w:val="B83A17AC"/>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5A8B"/>
    <w:multiLevelType w:val="hybridMultilevel"/>
    <w:tmpl w:val="87A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E443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0432A"/>
    <w:multiLevelType w:val="hybridMultilevel"/>
    <w:tmpl w:val="A9B87680"/>
    <w:lvl w:ilvl="0" w:tplc="A3D00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C77EE2"/>
    <w:multiLevelType w:val="hybridMultilevel"/>
    <w:tmpl w:val="CFC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76457"/>
    <w:multiLevelType w:val="hybridMultilevel"/>
    <w:tmpl w:val="589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C2FD3"/>
    <w:multiLevelType w:val="hybridMultilevel"/>
    <w:tmpl w:val="F62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967C3"/>
    <w:multiLevelType w:val="hybridMultilevel"/>
    <w:tmpl w:val="D376CD82"/>
    <w:lvl w:ilvl="0" w:tplc="9DEA9D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29731D"/>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9193D"/>
    <w:multiLevelType w:val="hybridMultilevel"/>
    <w:tmpl w:val="D6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82309"/>
    <w:multiLevelType w:val="hybridMultilevel"/>
    <w:tmpl w:val="8A5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C1478"/>
    <w:multiLevelType w:val="hybridMultilevel"/>
    <w:tmpl w:val="E27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0C2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87817"/>
    <w:multiLevelType w:val="hybridMultilevel"/>
    <w:tmpl w:val="539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32D31"/>
    <w:multiLevelType w:val="hybridMultilevel"/>
    <w:tmpl w:val="866E9CA0"/>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4"/>
  </w:num>
  <w:num w:numId="4">
    <w:abstractNumId w:val="19"/>
  </w:num>
  <w:num w:numId="5">
    <w:abstractNumId w:val="20"/>
  </w:num>
  <w:num w:numId="6">
    <w:abstractNumId w:val="15"/>
  </w:num>
  <w:num w:numId="7">
    <w:abstractNumId w:val="22"/>
  </w:num>
  <w:num w:numId="8">
    <w:abstractNumId w:val="16"/>
  </w:num>
  <w:num w:numId="9">
    <w:abstractNumId w:val="3"/>
  </w:num>
  <w:num w:numId="10">
    <w:abstractNumId w:val="14"/>
  </w:num>
  <w:num w:numId="11">
    <w:abstractNumId w:val="43"/>
  </w:num>
  <w:num w:numId="12">
    <w:abstractNumId w:val="33"/>
  </w:num>
  <w:num w:numId="13">
    <w:abstractNumId w:val="4"/>
  </w:num>
  <w:num w:numId="14">
    <w:abstractNumId w:val="39"/>
  </w:num>
  <w:num w:numId="15">
    <w:abstractNumId w:val="35"/>
  </w:num>
  <w:num w:numId="16">
    <w:abstractNumId w:val="23"/>
  </w:num>
  <w:num w:numId="17">
    <w:abstractNumId w:val="18"/>
  </w:num>
  <w:num w:numId="18">
    <w:abstractNumId w:val="17"/>
  </w:num>
  <w:num w:numId="19">
    <w:abstractNumId w:val="7"/>
  </w:num>
  <w:num w:numId="20">
    <w:abstractNumId w:val="28"/>
  </w:num>
  <w:num w:numId="21">
    <w:abstractNumId w:val="2"/>
  </w:num>
  <w:num w:numId="22">
    <w:abstractNumId w:val="37"/>
  </w:num>
  <w:num w:numId="23">
    <w:abstractNumId w:val="38"/>
  </w:num>
  <w:num w:numId="24">
    <w:abstractNumId w:val="25"/>
  </w:num>
  <w:num w:numId="25">
    <w:abstractNumId w:val="32"/>
  </w:num>
  <w:num w:numId="26">
    <w:abstractNumId w:val="34"/>
  </w:num>
  <w:num w:numId="27">
    <w:abstractNumId w:val="13"/>
  </w:num>
  <w:num w:numId="28">
    <w:abstractNumId w:val="27"/>
  </w:num>
  <w:num w:numId="29">
    <w:abstractNumId w:val="8"/>
  </w:num>
  <w:num w:numId="30">
    <w:abstractNumId w:val="31"/>
  </w:num>
  <w:num w:numId="31">
    <w:abstractNumId w:val="26"/>
  </w:num>
  <w:num w:numId="32">
    <w:abstractNumId w:val="9"/>
  </w:num>
  <w:num w:numId="33">
    <w:abstractNumId w:val="36"/>
  </w:num>
  <w:num w:numId="34">
    <w:abstractNumId w:val="45"/>
  </w:num>
  <w:num w:numId="35">
    <w:abstractNumId w:val="3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0"/>
  </w:num>
  <w:num w:numId="39">
    <w:abstractNumId w:val="40"/>
  </w:num>
  <w:num w:numId="40">
    <w:abstractNumId w:val="0"/>
  </w:num>
  <w:num w:numId="41">
    <w:abstractNumId w:val="21"/>
  </w:num>
  <w:num w:numId="42">
    <w:abstractNumId w:val="41"/>
  </w:num>
  <w:num w:numId="43">
    <w:abstractNumId w:val="5"/>
    <w:lvlOverride w:ilvl="0">
      <w:startOverride w:val="1"/>
    </w:lvlOverride>
  </w:num>
  <w:num w:numId="44">
    <w:abstractNumId w:val="24"/>
  </w:num>
  <w:num w:numId="45">
    <w:abstractNumId w:val="11"/>
  </w:num>
  <w:num w:numId="46">
    <w:abstractNumId w:val="12"/>
  </w:num>
  <w:num w:numId="47">
    <w:abstractNumId w:val="42"/>
  </w:num>
  <w:num w:numId="48">
    <w:abstractNumId w:val="5"/>
    <w:lvlOverride w:ilvl="0">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4"/>
    <w:rsid w:val="0000203E"/>
    <w:rsid w:val="000039D0"/>
    <w:rsid w:val="0000759A"/>
    <w:rsid w:val="000079ED"/>
    <w:rsid w:val="00016E78"/>
    <w:rsid w:val="00016F84"/>
    <w:rsid w:val="000209C1"/>
    <w:rsid w:val="00031B0D"/>
    <w:rsid w:val="000370E6"/>
    <w:rsid w:val="000538CD"/>
    <w:rsid w:val="0006293C"/>
    <w:rsid w:val="000654D6"/>
    <w:rsid w:val="000656E9"/>
    <w:rsid w:val="0006633A"/>
    <w:rsid w:val="000733A1"/>
    <w:rsid w:val="00080981"/>
    <w:rsid w:val="00080ECD"/>
    <w:rsid w:val="000875A6"/>
    <w:rsid w:val="000920E1"/>
    <w:rsid w:val="000A07D6"/>
    <w:rsid w:val="000B0F50"/>
    <w:rsid w:val="000B104F"/>
    <w:rsid w:val="000B1436"/>
    <w:rsid w:val="000B31D6"/>
    <w:rsid w:val="000B3360"/>
    <w:rsid w:val="000D1D7A"/>
    <w:rsid w:val="000D4B6D"/>
    <w:rsid w:val="000F38D4"/>
    <w:rsid w:val="00112348"/>
    <w:rsid w:val="00121C56"/>
    <w:rsid w:val="00130781"/>
    <w:rsid w:val="00140F89"/>
    <w:rsid w:val="0014185C"/>
    <w:rsid w:val="001623C0"/>
    <w:rsid w:val="00173516"/>
    <w:rsid w:val="001736A6"/>
    <w:rsid w:val="00174EC9"/>
    <w:rsid w:val="001751FD"/>
    <w:rsid w:val="0018382D"/>
    <w:rsid w:val="001849AC"/>
    <w:rsid w:val="00186326"/>
    <w:rsid w:val="00186E2C"/>
    <w:rsid w:val="001937A4"/>
    <w:rsid w:val="00196161"/>
    <w:rsid w:val="0019756D"/>
    <w:rsid w:val="001A50DA"/>
    <w:rsid w:val="001B01FF"/>
    <w:rsid w:val="001B2617"/>
    <w:rsid w:val="001C4AD6"/>
    <w:rsid w:val="001D01CD"/>
    <w:rsid w:val="001D7A9B"/>
    <w:rsid w:val="001E1751"/>
    <w:rsid w:val="001F42AD"/>
    <w:rsid w:val="00203C7B"/>
    <w:rsid w:val="00207E57"/>
    <w:rsid w:val="0021011F"/>
    <w:rsid w:val="002143B6"/>
    <w:rsid w:val="002266AA"/>
    <w:rsid w:val="00230E9B"/>
    <w:rsid w:val="0023349D"/>
    <w:rsid w:val="0024301C"/>
    <w:rsid w:val="00244A60"/>
    <w:rsid w:val="00245683"/>
    <w:rsid w:val="002457F2"/>
    <w:rsid w:val="00264672"/>
    <w:rsid w:val="00274199"/>
    <w:rsid w:val="00285C45"/>
    <w:rsid w:val="00292F03"/>
    <w:rsid w:val="002A24EC"/>
    <w:rsid w:val="002B311A"/>
    <w:rsid w:val="002C5755"/>
    <w:rsid w:val="002C6FBC"/>
    <w:rsid w:val="002D0607"/>
    <w:rsid w:val="002D1367"/>
    <w:rsid w:val="002D2274"/>
    <w:rsid w:val="002D70D0"/>
    <w:rsid w:val="002D7622"/>
    <w:rsid w:val="002E1D25"/>
    <w:rsid w:val="002E3D8F"/>
    <w:rsid w:val="002F1440"/>
    <w:rsid w:val="00322670"/>
    <w:rsid w:val="00332C00"/>
    <w:rsid w:val="003429EB"/>
    <w:rsid w:val="0034481D"/>
    <w:rsid w:val="003450BE"/>
    <w:rsid w:val="003454BF"/>
    <w:rsid w:val="00353752"/>
    <w:rsid w:val="00357171"/>
    <w:rsid w:val="00365E68"/>
    <w:rsid w:val="00380EFE"/>
    <w:rsid w:val="00382671"/>
    <w:rsid w:val="00383A57"/>
    <w:rsid w:val="00386457"/>
    <w:rsid w:val="0038763A"/>
    <w:rsid w:val="00390B6F"/>
    <w:rsid w:val="003A31D2"/>
    <w:rsid w:val="003A5B7A"/>
    <w:rsid w:val="003C22F7"/>
    <w:rsid w:val="003D4995"/>
    <w:rsid w:val="003E7164"/>
    <w:rsid w:val="0040509E"/>
    <w:rsid w:val="0044200F"/>
    <w:rsid w:val="00446C58"/>
    <w:rsid w:val="004535F8"/>
    <w:rsid w:val="00453E15"/>
    <w:rsid w:val="00455344"/>
    <w:rsid w:val="00456B35"/>
    <w:rsid w:val="004614D7"/>
    <w:rsid w:val="00473ADF"/>
    <w:rsid w:val="004803BD"/>
    <w:rsid w:val="00483F2C"/>
    <w:rsid w:val="0049546B"/>
    <w:rsid w:val="004C0E41"/>
    <w:rsid w:val="004C4679"/>
    <w:rsid w:val="004C6A39"/>
    <w:rsid w:val="004C7C3C"/>
    <w:rsid w:val="004D6903"/>
    <w:rsid w:val="004D7B23"/>
    <w:rsid w:val="004E5ABA"/>
    <w:rsid w:val="004F0C9E"/>
    <w:rsid w:val="004F0F26"/>
    <w:rsid w:val="004F6842"/>
    <w:rsid w:val="00502946"/>
    <w:rsid w:val="00514D1C"/>
    <w:rsid w:val="00516533"/>
    <w:rsid w:val="00517839"/>
    <w:rsid w:val="00524A13"/>
    <w:rsid w:val="00541E34"/>
    <w:rsid w:val="005450D3"/>
    <w:rsid w:val="005511C1"/>
    <w:rsid w:val="005545FD"/>
    <w:rsid w:val="0055637D"/>
    <w:rsid w:val="00560E64"/>
    <w:rsid w:val="00562CF1"/>
    <w:rsid w:val="00564351"/>
    <w:rsid w:val="005671A1"/>
    <w:rsid w:val="005700DA"/>
    <w:rsid w:val="005747EE"/>
    <w:rsid w:val="0057514E"/>
    <w:rsid w:val="00580903"/>
    <w:rsid w:val="00581280"/>
    <w:rsid w:val="00585738"/>
    <w:rsid w:val="00591842"/>
    <w:rsid w:val="00592BF6"/>
    <w:rsid w:val="005A3C02"/>
    <w:rsid w:val="005B51A1"/>
    <w:rsid w:val="005B572F"/>
    <w:rsid w:val="005D3F04"/>
    <w:rsid w:val="005D570C"/>
    <w:rsid w:val="005E0B82"/>
    <w:rsid w:val="005F1164"/>
    <w:rsid w:val="005F392C"/>
    <w:rsid w:val="005F6144"/>
    <w:rsid w:val="00600EAA"/>
    <w:rsid w:val="00610448"/>
    <w:rsid w:val="0061201C"/>
    <w:rsid w:val="006173F0"/>
    <w:rsid w:val="006404EC"/>
    <w:rsid w:val="00641BF1"/>
    <w:rsid w:val="00651D83"/>
    <w:rsid w:val="006573DC"/>
    <w:rsid w:val="00663CE5"/>
    <w:rsid w:val="00694961"/>
    <w:rsid w:val="00696B92"/>
    <w:rsid w:val="006A46CD"/>
    <w:rsid w:val="006B662D"/>
    <w:rsid w:val="006C07E2"/>
    <w:rsid w:val="006C3EAF"/>
    <w:rsid w:val="006D13EA"/>
    <w:rsid w:val="006E0EE9"/>
    <w:rsid w:val="006F4CF1"/>
    <w:rsid w:val="00705AB7"/>
    <w:rsid w:val="0071483C"/>
    <w:rsid w:val="00715CFA"/>
    <w:rsid w:val="00717B2E"/>
    <w:rsid w:val="007213C2"/>
    <w:rsid w:val="0073614B"/>
    <w:rsid w:val="00740FC5"/>
    <w:rsid w:val="00753192"/>
    <w:rsid w:val="00755A86"/>
    <w:rsid w:val="00757DF4"/>
    <w:rsid w:val="00757E42"/>
    <w:rsid w:val="007646EA"/>
    <w:rsid w:val="00772C04"/>
    <w:rsid w:val="00775B3E"/>
    <w:rsid w:val="00780B10"/>
    <w:rsid w:val="007921EE"/>
    <w:rsid w:val="00796CFA"/>
    <w:rsid w:val="00797E33"/>
    <w:rsid w:val="007C6BB8"/>
    <w:rsid w:val="007D708B"/>
    <w:rsid w:val="007E4790"/>
    <w:rsid w:val="007F09E0"/>
    <w:rsid w:val="00800627"/>
    <w:rsid w:val="008017D0"/>
    <w:rsid w:val="00812635"/>
    <w:rsid w:val="00813CE5"/>
    <w:rsid w:val="00823B82"/>
    <w:rsid w:val="008447C6"/>
    <w:rsid w:val="00854DEB"/>
    <w:rsid w:val="0086182D"/>
    <w:rsid w:val="00871C8A"/>
    <w:rsid w:val="00877B23"/>
    <w:rsid w:val="008847B4"/>
    <w:rsid w:val="00892293"/>
    <w:rsid w:val="0089291C"/>
    <w:rsid w:val="008964D4"/>
    <w:rsid w:val="008B1225"/>
    <w:rsid w:val="008C6018"/>
    <w:rsid w:val="00904C37"/>
    <w:rsid w:val="00912798"/>
    <w:rsid w:val="00916445"/>
    <w:rsid w:val="0092343B"/>
    <w:rsid w:val="009327A3"/>
    <w:rsid w:val="00933672"/>
    <w:rsid w:val="00941BD5"/>
    <w:rsid w:val="0094232F"/>
    <w:rsid w:val="009463C6"/>
    <w:rsid w:val="00960691"/>
    <w:rsid w:val="0096440E"/>
    <w:rsid w:val="00971663"/>
    <w:rsid w:val="009918CD"/>
    <w:rsid w:val="00993129"/>
    <w:rsid w:val="00997FFE"/>
    <w:rsid w:val="009A0212"/>
    <w:rsid w:val="009A33D5"/>
    <w:rsid w:val="009A34F9"/>
    <w:rsid w:val="009A390F"/>
    <w:rsid w:val="009A70DA"/>
    <w:rsid w:val="009B2029"/>
    <w:rsid w:val="009B21A1"/>
    <w:rsid w:val="009D4750"/>
    <w:rsid w:val="009E5EE4"/>
    <w:rsid w:val="009F32D3"/>
    <w:rsid w:val="00A134CE"/>
    <w:rsid w:val="00A23F35"/>
    <w:rsid w:val="00A31FEB"/>
    <w:rsid w:val="00A368D8"/>
    <w:rsid w:val="00A46562"/>
    <w:rsid w:val="00A474F3"/>
    <w:rsid w:val="00A56397"/>
    <w:rsid w:val="00A5715C"/>
    <w:rsid w:val="00A647DE"/>
    <w:rsid w:val="00A64D9D"/>
    <w:rsid w:val="00A712DD"/>
    <w:rsid w:val="00A84B37"/>
    <w:rsid w:val="00A84C9A"/>
    <w:rsid w:val="00A90372"/>
    <w:rsid w:val="00A9132C"/>
    <w:rsid w:val="00A9571B"/>
    <w:rsid w:val="00AA08BE"/>
    <w:rsid w:val="00AA4FB1"/>
    <w:rsid w:val="00AA5F9D"/>
    <w:rsid w:val="00AB58F4"/>
    <w:rsid w:val="00AB6286"/>
    <w:rsid w:val="00AD2AC1"/>
    <w:rsid w:val="00AD54A6"/>
    <w:rsid w:val="00AE0D98"/>
    <w:rsid w:val="00AE1D86"/>
    <w:rsid w:val="00AE5376"/>
    <w:rsid w:val="00AE6F3A"/>
    <w:rsid w:val="00AF4E0C"/>
    <w:rsid w:val="00AF5CF6"/>
    <w:rsid w:val="00AF6C6E"/>
    <w:rsid w:val="00AF7053"/>
    <w:rsid w:val="00B1581F"/>
    <w:rsid w:val="00B21BCB"/>
    <w:rsid w:val="00B22086"/>
    <w:rsid w:val="00B30FE3"/>
    <w:rsid w:val="00B37A53"/>
    <w:rsid w:val="00B516B4"/>
    <w:rsid w:val="00B6697E"/>
    <w:rsid w:val="00B66F23"/>
    <w:rsid w:val="00B70561"/>
    <w:rsid w:val="00B70579"/>
    <w:rsid w:val="00B76858"/>
    <w:rsid w:val="00B81E15"/>
    <w:rsid w:val="00B83B06"/>
    <w:rsid w:val="00B922B1"/>
    <w:rsid w:val="00B94D36"/>
    <w:rsid w:val="00BB5DDD"/>
    <w:rsid w:val="00BE0C27"/>
    <w:rsid w:val="00BF171C"/>
    <w:rsid w:val="00C06D88"/>
    <w:rsid w:val="00C117A2"/>
    <w:rsid w:val="00C12FCC"/>
    <w:rsid w:val="00C24C5D"/>
    <w:rsid w:val="00C30B6F"/>
    <w:rsid w:val="00C37781"/>
    <w:rsid w:val="00C40DCC"/>
    <w:rsid w:val="00C46922"/>
    <w:rsid w:val="00C4718D"/>
    <w:rsid w:val="00C83642"/>
    <w:rsid w:val="00C85AAD"/>
    <w:rsid w:val="00C862F8"/>
    <w:rsid w:val="00C90904"/>
    <w:rsid w:val="00C92BE4"/>
    <w:rsid w:val="00C94B1E"/>
    <w:rsid w:val="00C967EB"/>
    <w:rsid w:val="00CA2DA4"/>
    <w:rsid w:val="00CA3638"/>
    <w:rsid w:val="00CA4459"/>
    <w:rsid w:val="00CB0F0B"/>
    <w:rsid w:val="00CC7A58"/>
    <w:rsid w:val="00CF78D7"/>
    <w:rsid w:val="00D03B6D"/>
    <w:rsid w:val="00D042F0"/>
    <w:rsid w:val="00D202F9"/>
    <w:rsid w:val="00D42544"/>
    <w:rsid w:val="00D4742E"/>
    <w:rsid w:val="00D47744"/>
    <w:rsid w:val="00D47B5F"/>
    <w:rsid w:val="00D57058"/>
    <w:rsid w:val="00D5784A"/>
    <w:rsid w:val="00D579F0"/>
    <w:rsid w:val="00D60355"/>
    <w:rsid w:val="00D62502"/>
    <w:rsid w:val="00D64806"/>
    <w:rsid w:val="00D73B4D"/>
    <w:rsid w:val="00D740E1"/>
    <w:rsid w:val="00D801D0"/>
    <w:rsid w:val="00D81559"/>
    <w:rsid w:val="00D919C5"/>
    <w:rsid w:val="00DA32D3"/>
    <w:rsid w:val="00DA7438"/>
    <w:rsid w:val="00DB185A"/>
    <w:rsid w:val="00DB5CC5"/>
    <w:rsid w:val="00DC476F"/>
    <w:rsid w:val="00DD7F04"/>
    <w:rsid w:val="00DE041B"/>
    <w:rsid w:val="00DE707E"/>
    <w:rsid w:val="00E0053B"/>
    <w:rsid w:val="00E010CC"/>
    <w:rsid w:val="00E22648"/>
    <w:rsid w:val="00E43887"/>
    <w:rsid w:val="00E642BD"/>
    <w:rsid w:val="00E642F3"/>
    <w:rsid w:val="00E65C7B"/>
    <w:rsid w:val="00E65C87"/>
    <w:rsid w:val="00E818E3"/>
    <w:rsid w:val="00E84003"/>
    <w:rsid w:val="00E85F19"/>
    <w:rsid w:val="00E91995"/>
    <w:rsid w:val="00E92011"/>
    <w:rsid w:val="00E949AE"/>
    <w:rsid w:val="00E94E46"/>
    <w:rsid w:val="00EA218B"/>
    <w:rsid w:val="00EA3EE9"/>
    <w:rsid w:val="00EA7882"/>
    <w:rsid w:val="00EB5E82"/>
    <w:rsid w:val="00EC0973"/>
    <w:rsid w:val="00EC3354"/>
    <w:rsid w:val="00EC4307"/>
    <w:rsid w:val="00ED26AA"/>
    <w:rsid w:val="00ED30FD"/>
    <w:rsid w:val="00ED4F4B"/>
    <w:rsid w:val="00EE61D2"/>
    <w:rsid w:val="00EF5AE3"/>
    <w:rsid w:val="00EF636A"/>
    <w:rsid w:val="00F14B83"/>
    <w:rsid w:val="00F52484"/>
    <w:rsid w:val="00F63A73"/>
    <w:rsid w:val="00F64075"/>
    <w:rsid w:val="00F6649B"/>
    <w:rsid w:val="00FA158F"/>
    <w:rsid w:val="00FA3100"/>
    <w:rsid w:val="00FB1B5A"/>
    <w:rsid w:val="00FD023E"/>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12A"/>
  <w15:docId w15:val="{5B577A72-0B2F-4EA6-959F-7E29DF7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274"/>
    <w:pPr>
      <w:spacing w:line="240" w:lineRule="auto"/>
    </w:pPr>
  </w:style>
  <w:style w:type="paragraph" w:styleId="Heading1">
    <w:name w:val="heading 1"/>
    <w:basedOn w:val="Heading2"/>
    <w:next w:val="Normal"/>
    <w:link w:val="Heading1Char"/>
    <w:uiPriority w:val="9"/>
    <w:qFormat/>
    <w:rsid w:val="002D2274"/>
    <w:pPr>
      <w:numPr>
        <w:numId w:val="0"/>
      </w:numPr>
      <w:ind w:left="360" w:hanging="360"/>
      <w:outlineLvl w:val="0"/>
    </w:pPr>
    <w:rPr>
      <w:bCs w:val="0"/>
      <w:sz w:val="28"/>
    </w:rPr>
  </w:style>
  <w:style w:type="paragraph" w:styleId="Heading2">
    <w:name w:val="heading 2"/>
    <w:basedOn w:val="ListParagraph"/>
    <w:next w:val="Normal"/>
    <w:link w:val="Heading2Char"/>
    <w:uiPriority w:val="9"/>
    <w:unhideWhenUsed/>
    <w:qFormat/>
    <w:rsid w:val="002D2274"/>
    <w:pPr>
      <w:numPr>
        <w:numId w:val="1"/>
      </w:numPr>
      <w:outlineLvl w:val="1"/>
    </w:pPr>
    <w:rPr>
      <w:b/>
      <w:bCs/>
    </w:rPr>
  </w:style>
  <w:style w:type="paragraph" w:styleId="Heading3">
    <w:name w:val="heading 3"/>
    <w:basedOn w:val="Normal"/>
    <w:next w:val="Normal"/>
    <w:link w:val="Heading3Char"/>
    <w:uiPriority w:val="9"/>
    <w:unhideWhenUsed/>
    <w:qFormat/>
    <w:rsid w:val="002D2274"/>
    <w:pPr>
      <w:jc w:val="center"/>
      <w:outlineLvl w:val="2"/>
    </w:pPr>
    <w:rPr>
      <w:b/>
      <w:sz w:val="32"/>
      <w:szCs w:val="32"/>
    </w:rPr>
  </w:style>
  <w:style w:type="paragraph" w:styleId="Heading4">
    <w:name w:val="heading 4"/>
    <w:basedOn w:val="Normal"/>
    <w:next w:val="Normal"/>
    <w:link w:val="Heading4Char"/>
    <w:uiPriority w:val="9"/>
    <w:semiHidden/>
    <w:unhideWhenUsed/>
    <w:qFormat/>
    <w:rsid w:val="002D22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2D22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274"/>
    <w:pPr>
      <w:jc w:val="center"/>
    </w:pPr>
    <w:rPr>
      <w:b/>
      <w:sz w:val="32"/>
    </w:rPr>
  </w:style>
  <w:style w:type="character" w:customStyle="1" w:styleId="TitleChar">
    <w:name w:val="Title Char"/>
    <w:basedOn w:val="DefaultParagraphFont"/>
    <w:link w:val="Title"/>
    <w:uiPriority w:val="10"/>
    <w:rsid w:val="002D2274"/>
    <w:rPr>
      <w:b/>
      <w:sz w:val="32"/>
    </w:rPr>
  </w:style>
  <w:style w:type="character" w:customStyle="1" w:styleId="Heading1Char">
    <w:name w:val="Heading 1 Char"/>
    <w:basedOn w:val="DefaultParagraphFont"/>
    <w:link w:val="Heading1"/>
    <w:uiPriority w:val="9"/>
    <w:rsid w:val="002D2274"/>
    <w:rPr>
      <w:b/>
      <w:sz w:val="28"/>
    </w:rPr>
  </w:style>
  <w:style w:type="character" w:customStyle="1" w:styleId="Heading2Char">
    <w:name w:val="Heading 2 Char"/>
    <w:basedOn w:val="DefaultParagraphFont"/>
    <w:link w:val="Heading2"/>
    <w:uiPriority w:val="9"/>
    <w:rsid w:val="002D2274"/>
    <w:rPr>
      <w:b/>
      <w:bCs/>
    </w:rPr>
  </w:style>
  <w:style w:type="paragraph" w:styleId="ListParagraph">
    <w:name w:val="List Paragraph"/>
    <w:basedOn w:val="Normal"/>
    <w:uiPriority w:val="34"/>
    <w:qFormat/>
    <w:rsid w:val="002D2274"/>
    <w:pPr>
      <w:ind w:left="720"/>
      <w:contextualSpacing/>
    </w:pPr>
  </w:style>
  <w:style w:type="paragraph" w:styleId="FootnoteText">
    <w:name w:val="footnote text"/>
    <w:basedOn w:val="Normal"/>
    <w:link w:val="FootnoteTextChar"/>
    <w:uiPriority w:val="99"/>
    <w:unhideWhenUsed/>
    <w:rsid w:val="002D2274"/>
    <w:pPr>
      <w:spacing w:after="0"/>
    </w:pPr>
    <w:rPr>
      <w:sz w:val="20"/>
      <w:szCs w:val="20"/>
    </w:rPr>
  </w:style>
  <w:style w:type="character" w:customStyle="1" w:styleId="FootnoteTextChar">
    <w:name w:val="Footnote Text Char"/>
    <w:basedOn w:val="DefaultParagraphFont"/>
    <w:link w:val="FootnoteText"/>
    <w:uiPriority w:val="99"/>
    <w:rsid w:val="002D2274"/>
    <w:rPr>
      <w:sz w:val="20"/>
      <w:szCs w:val="20"/>
    </w:rPr>
  </w:style>
  <w:style w:type="character" w:styleId="FootnoteReference">
    <w:name w:val="footnote reference"/>
    <w:basedOn w:val="DefaultParagraphFont"/>
    <w:uiPriority w:val="99"/>
    <w:semiHidden/>
    <w:unhideWhenUsed/>
    <w:rsid w:val="002D2274"/>
    <w:rPr>
      <w:vertAlign w:val="superscript"/>
    </w:rPr>
  </w:style>
  <w:style w:type="character" w:styleId="Hyperlink">
    <w:name w:val="Hyperlink"/>
    <w:basedOn w:val="DefaultParagraphFont"/>
    <w:uiPriority w:val="99"/>
    <w:unhideWhenUsed/>
    <w:rsid w:val="002D2274"/>
    <w:rPr>
      <w:color w:val="0000FF" w:themeColor="hyperlink"/>
      <w:u w:val="single"/>
    </w:rPr>
  </w:style>
  <w:style w:type="paragraph" w:styleId="Header">
    <w:name w:val="header"/>
    <w:basedOn w:val="Normal"/>
    <w:link w:val="HeaderChar"/>
    <w:uiPriority w:val="99"/>
    <w:unhideWhenUsed/>
    <w:rsid w:val="002D2274"/>
    <w:pPr>
      <w:tabs>
        <w:tab w:val="center" w:pos="4680"/>
        <w:tab w:val="right" w:pos="9360"/>
      </w:tabs>
      <w:spacing w:after="0"/>
    </w:pPr>
  </w:style>
  <w:style w:type="character" w:customStyle="1" w:styleId="HeaderChar">
    <w:name w:val="Header Char"/>
    <w:basedOn w:val="DefaultParagraphFont"/>
    <w:link w:val="Header"/>
    <w:uiPriority w:val="99"/>
    <w:rsid w:val="002D2274"/>
  </w:style>
  <w:style w:type="paragraph" w:styleId="Footer">
    <w:name w:val="footer"/>
    <w:basedOn w:val="Normal"/>
    <w:link w:val="FooterChar"/>
    <w:uiPriority w:val="99"/>
    <w:unhideWhenUsed/>
    <w:rsid w:val="002D2274"/>
    <w:pPr>
      <w:tabs>
        <w:tab w:val="center" w:pos="4680"/>
        <w:tab w:val="right" w:pos="9360"/>
      </w:tabs>
      <w:spacing w:after="0"/>
    </w:pPr>
  </w:style>
  <w:style w:type="character" w:customStyle="1" w:styleId="FooterChar">
    <w:name w:val="Footer Char"/>
    <w:basedOn w:val="DefaultParagraphFont"/>
    <w:link w:val="Footer"/>
    <w:uiPriority w:val="99"/>
    <w:rsid w:val="002D2274"/>
  </w:style>
  <w:style w:type="character" w:customStyle="1" w:styleId="Heading3Char">
    <w:name w:val="Heading 3 Char"/>
    <w:basedOn w:val="DefaultParagraphFont"/>
    <w:link w:val="Heading3"/>
    <w:uiPriority w:val="9"/>
    <w:rsid w:val="002D2274"/>
    <w:rPr>
      <w:b/>
      <w:sz w:val="32"/>
      <w:szCs w:val="32"/>
    </w:rPr>
  </w:style>
  <w:style w:type="character" w:customStyle="1" w:styleId="Heading4Char">
    <w:name w:val="Heading 4 Char"/>
    <w:basedOn w:val="DefaultParagraphFont"/>
    <w:link w:val="Heading4"/>
    <w:uiPriority w:val="9"/>
    <w:semiHidden/>
    <w:rsid w:val="002D227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2D22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D22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74"/>
    <w:rPr>
      <w:rFonts w:ascii="Tahoma" w:hAnsi="Tahoma" w:cs="Tahoma"/>
      <w:sz w:val="16"/>
      <w:szCs w:val="16"/>
    </w:rPr>
  </w:style>
  <w:style w:type="character" w:styleId="CommentReference">
    <w:name w:val="annotation reference"/>
    <w:basedOn w:val="DefaultParagraphFont"/>
    <w:uiPriority w:val="99"/>
    <w:semiHidden/>
    <w:unhideWhenUsed/>
    <w:rsid w:val="002D2274"/>
    <w:rPr>
      <w:sz w:val="16"/>
      <w:szCs w:val="16"/>
    </w:rPr>
  </w:style>
  <w:style w:type="paragraph" w:styleId="CommentText">
    <w:name w:val="annotation text"/>
    <w:basedOn w:val="Normal"/>
    <w:link w:val="CommentTextChar"/>
    <w:uiPriority w:val="99"/>
    <w:unhideWhenUsed/>
    <w:rsid w:val="002D2274"/>
    <w:rPr>
      <w:sz w:val="20"/>
      <w:szCs w:val="20"/>
    </w:rPr>
  </w:style>
  <w:style w:type="character" w:customStyle="1" w:styleId="CommentTextChar">
    <w:name w:val="Comment Text Char"/>
    <w:basedOn w:val="DefaultParagraphFont"/>
    <w:link w:val="CommentText"/>
    <w:uiPriority w:val="99"/>
    <w:rsid w:val="002D2274"/>
    <w:rPr>
      <w:sz w:val="20"/>
      <w:szCs w:val="20"/>
    </w:rPr>
  </w:style>
  <w:style w:type="paragraph" w:styleId="CommentSubject">
    <w:name w:val="annotation subject"/>
    <w:basedOn w:val="CommentText"/>
    <w:next w:val="CommentText"/>
    <w:link w:val="CommentSubjectChar"/>
    <w:uiPriority w:val="99"/>
    <w:semiHidden/>
    <w:unhideWhenUsed/>
    <w:rsid w:val="002D2274"/>
    <w:rPr>
      <w:b/>
      <w:bCs/>
    </w:rPr>
  </w:style>
  <w:style w:type="character" w:customStyle="1" w:styleId="CommentSubjectChar">
    <w:name w:val="Comment Subject Char"/>
    <w:basedOn w:val="CommentTextChar"/>
    <w:link w:val="CommentSubject"/>
    <w:uiPriority w:val="99"/>
    <w:semiHidden/>
    <w:rsid w:val="002D2274"/>
    <w:rPr>
      <w:b/>
      <w:bCs/>
      <w:sz w:val="20"/>
      <w:szCs w:val="20"/>
    </w:rPr>
  </w:style>
  <w:style w:type="paragraph" w:styleId="Revision">
    <w:name w:val="Revision"/>
    <w:hidden/>
    <w:uiPriority w:val="99"/>
    <w:semiHidden/>
    <w:rsid w:val="002D2274"/>
    <w:pPr>
      <w:spacing w:after="0" w:line="240" w:lineRule="auto"/>
    </w:pPr>
  </w:style>
  <w:style w:type="paragraph" w:styleId="NoSpacing">
    <w:name w:val="No Spacing"/>
    <w:uiPriority w:val="1"/>
    <w:qFormat/>
    <w:rsid w:val="002D2274"/>
    <w:pPr>
      <w:spacing w:after="0" w:line="240" w:lineRule="auto"/>
    </w:pPr>
  </w:style>
  <w:style w:type="character" w:styleId="FollowedHyperlink">
    <w:name w:val="FollowedHyperlink"/>
    <w:basedOn w:val="DefaultParagraphFont"/>
    <w:uiPriority w:val="99"/>
    <w:semiHidden/>
    <w:unhideWhenUsed/>
    <w:rsid w:val="002D2274"/>
    <w:rPr>
      <w:color w:val="800080" w:themeColor="followedHyperlink"/>
      <w:u w:val="single"/>
    </w:rPr>
  </w:style>
  <w:style w:type="paragraph" w:styleId="HTMLPreformatted">
    <w:name w:val="HTML Preformatted"/>
    <w:basedOn w:val="Normal"/>
    <w:link w:val="HTMLPreformattedChar"/>
    <w:uiPriority w:val="99"/>
    <w:unhideWhenUsed/>
    <w:rsid w:val="002D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274"/>
    <w:rPr>
      <w:rFonts w:ascii="Courier New" w:eastAsia="Times New Roman" w:hAnsi="Courier New" w:cs="Courier New"/>
      <w:sz w:val="20"/>
      <w:szCs w:val="20"/>
    </w:rPr>
  </w:style>
  <w:style w:type="paragraph" w:customStyle="1" w:styleId="LightGrid-Accent31">
    <w:name w:val="Light Grid - Accent 31"/>
    <w:basedOn w:val="Normal"/>
    <w:uiPriority w:val="34"/>
    <w:rsid w:val="002D2274"/>
    <w:pPr>
      <w:autoSpaceDE w:val="0"/>
      <w:autoSpaceDN w:val="0"/>
      <w:adjustRightInd w:val="0"/>
      <w:spacing w:after="240" w:line="23" w:lineRule="atLeast"/>
      <w:ind w:left="720" w:firstLine="720"/>
    </w:pPr>
    <w:rPr>
      <w:rFonts w:ascii="Times New Roman" w:eastAsia="Times New Roman" w:hAnsi="Times New Roman" w:cs="Times New Roman"/>
      <w:sz w:val="24"/>
    </w:rPr>
  </w:style>
  <w:style w:type="paragraph" w:customStyle="1" w:styleId="TOCHeading1">
    <w:name w:val="TOC Heading1"/>
    <w:basedOn w:val="Heading1"/>
    <w:next w:val="Normal"/>
    <w:uiPriority w:val="39"/>
    <w:unhideWhenUsed/>
    <w:qFormat/>
    <w:rsid w:val="002D2274"/>
    <w:pPr>
      <w:keepNext/>
      <w:autoSpaceDE w:val="0"/>
      <w:autoSpaceDN w:val="0"/>
      <w:adjustRightInd w:val="0"/>
      <w:spacing w:before="480" w:after="240" w:line="23" w:lineRule="atLeast"/>
      <w:ind w:left="1440" w:hanging="720"/>
      <w:outlineLvl w:val="9"/>
    </w:pPr>
    <w:rPr>
      <w:rFonts w:ascii="Cambria" w:eastAsia="Times New Roman" w:hAnsi="Cambria" w:cs="Times New Roman"/>
      <w:bCs/>
      <w:sz w:val="24"/>
      <w:szCs w:val="24"/>
      <w:u w:val="single"/>
      <w:lang w:val="x-none" w:eastAsia="x-none" w:bidi="en-US"/>
    </w:rPr>
  </w:style>
  <w:style w:type="paragraph" w:styleId="TOCHeading">
    <w:name w:val="TOC Heading"/>
    <w:basedOn w:val="Heading1"/>
    <w:next w:val="Normal"/>
    <w:uiPriority w:val="39"/>
    <w:unhideWhenUsed/>
    <w:qFormat/>
    <w:rsid w:val="002D2274"/>
    <w:pPr>
      <w:keepNext/>
      <w:keepLines/>
      <w:spacing w:before="480" w:after="0"/>
      <w:ind w:left="0" w:firstLine="0"/>
      <w:contextualSpacing w:val="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797E33"/>
    <w:pPr>
      <w:tabs>
        <w:tab w:val="right" w:leader="dot" w:pos="9350"/>
      </w:tabs>
      <w:spacing w:after="100"/>
    </w:pPr>
    <w:rPr>
      <w:b/>
      <w:bCs/>
      <w:noProof/>
    </w:rPr>
  </w:style>
  <w:style w:type="paragraph" w:styleId="TOC2">
    <w:name w:val="toc 2"/>
    <w:basedOn w:val="Normal"/>
    <w:next w:val="Normal"/>
    <w:autoRedefine/>
    <w:uiPriority w:val="39"/>
    <w:unhideWhenUsed/>
    <w:rsid w:val="002D2274"/>
    <w:pPr>
      <w:tabs>
        <w:tab w:val="left" w:pos="630"/>
        <w:tab w:val="right" w:leader="dot" w:pos="9350"/>
      </w:tabs>
      <w:spacing w:after="100"/>
      <w:ind w:left="220"/>
    </w:pPr>
  </w:style>
  <w:style w:type="paragraph" w:customStyle="1" w:styleId="statutory-body-1em">
    <w:name w:val="statutory-body-1em"/>
    <w:basedOn w:val="Normal"/>
    <w:rsid w:val="002D227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50998">
      <w:bodyDiv w:val="1"/>
      <w:marLeft w:val="0"/>
      <w:marRight w:val="0"/>
      <w:marTop w:val="0"/>
      <w:marBottom w:val="0"/>
      <w:divBdr>
        <w:top w:val="none" w:sz="0" w:space="0" w:color="auto"/>
        <w:left w:val="none" w:sz="0" w:space="0" w:color="auto"/>
        <w:bottom w:val="none" w:sz="0" w:space="0" w:color="auto"/>
        <w:right w:val="none" w:sz="0" w:space="0" w:color="auto"/>
      </w:divBdr>
    </w:div>
    <w:div w:id="19930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fifund.gov/Pages/Opportunity-Zones.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programs-surveys/saip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directCostGroup@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20-10509" TargetMode="External"/><Relationship Id="rId5" Type="http://schemas.openxmlformats.org/officeDocument/2006/relationships/numbering" Target="numbering.xml"/><Relationship Id="rId15" Type="http://schemas.openxmlformats.org/officeDocument/2006/relationships/hyperlink" Target="http://www.ecfr.gov/cgi-bin/text-idx?SID=7d8cee13efa0f4646222259651e77aea&amp;mc=true&amp;node=se34.1.75_1135&amp;rgn=div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programs/maped/LocaleLooku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QPartnership@ed.gov" TargetMode="External"/><Relationship Id="rId1" Type="http://schemas.openxmlformats.org/officeDocument/2006/relationships/hyperlink" Target="http://innovation.ed.gov/what-we-do/teacher-quality/teacher-qualit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2C52-B945-46C7-9633-B456005F0876}">
  <ds:schemaRefs>
    <ds:schemaRef ds:uri="http://schemas.microsoft.com/sharepoint/v3/contenttype/forms"/>
  </ds:schemaRefs>
</ds:datastoreItem>
</file>

<file path=customXml/itemProps2.xml><?xml version="1.0" encoding="utf-8"?>
<ds:datastoreItem xmlns:ds="http://schemas.openxmlformats.org/officeDocument/2006/customXml" ds:itemID="{05CF4901-7499-4DFA-AAB0-1D7A5873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95A57-B80C-4597-BCF9-87F9ADE3AFE8}">
  <ds:schemaRefs>
    <ds:schemaRef ds:uri="http://schemas.openxmlformats.org/package/2006/metadata/core-properties"/>
    <ds:schemaRef ds:uri="http://www.w3.org/XML/1998/namespace"/>
    <ds:schemaRef ds:uri="http://purl.org/dc/terms/"/>
    <ds:schemaRef ds:uri="http://schemas.microsoft.com/office/2006/documentManagement/types"/>
    <ds:schemaRef ds:uri="faadc187-350c-4b5f-8ff8-0d0c53b56a8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2B0A9C7-5662-437D-9F51-775AA840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5264</Words>
  <Characters>30007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FY 2019 Teacher Quality Partnership FAQs - For Clearance</vt:lpstr>
    </vt:vector>
  </TitlesOfParts>
  <Company>U.S. Department of Education</Company>
  <LinksUpToDate>false</LinksUpToDate>
  <CharactersWithSpaces>35201</CharactersWithSpaces>
  <SharedDoc>false</SharedDoc>
  <HLinks>
    <vt:vector size="42" baseType="variant">
      <vt:variant>
        <vt:i4>3276803</vt:i4>
      </vt:variant>
      <vt:variant>
        <vt:i4>12</vt:i4>
      </vt:variant>
      <vt:variant>
        <vt:i4>0</vt:i4>
      </vt:variant>
      <vt:variant>
        <vt:i4>5</vt:i4>
      </vt:variant>
      <vt:variant>
        <vt:lpwstr>mailto:IndirectCostGroup@ed.gov</vt:lpwstr>
      </vt:variant>
      <vt:variant>
        <vt:lpwstr/>
      </vt:variant>
      <vt:variant>
        <vt:i4>4718666</vt:i4>
      </vt:variant>
      <vt:variant>
        <vt:i4>9</vt:i4>
      </vt:variant>
      <vt:variant>
        <vt:i4>0</vt:i4>
      </vt:variant>
      <vt:variant>
        <vt:i4>5</vt:i4>
      </vt:variant>
      <vt:variant>
        <vt:lpwstr>http://innovation.ed.gov/what-we-do/teacher-quality/teacher-quality-partnership/</vt:lpwstr>
      </vt:variant>
      <vt:variant>
        <vt:lpwstr/>
      </vt:variant>
      <vt:variant>
        <vt:i4>4718666</vt:i4>
      </vt:variant>
      <vt:variant>
        <vt:i4>6</vt:i4>
      </vt:variant>
      <vt:variant>
        <vt:i4>0</vt:i4>
      </vt:variant>
      <vt:variant>
        <vt:i4>5</vt:i4>
      </vt:variant>
      <vt:variant>
        <vt:lpwstr>http://innovation.ed.gov/what-we-do/teacher-quality/teacher-quality-partnership/</vt:lpwstr>
      </vt:variant>
      <vt:variant>
        <vt:lpwstr/>
      </vt:variant>
      <vt:variant>
        <vt:i4>7143432</vt:i4>
      </vt:variant>
      <vt:variant>
        <vt:i4>3</vt:i4>
      </vt:variant>
      <vt:variant>
        <vt:i4>0</vt:i4>
      </vt:variant>
      <vt:variant>
        <vt:i4>5</vt:i4>
      </vt:variant>
      <vt:variant>
        <vt:lpwstr>http://www.ecfr.gov/cgi-bin/text-idx?SID=7d8cee13efa0f4646222259651e77aea&amp;mc=true&amp;node=se34.1.75_1135&amp;rgn=div8</vt:lpwstr>
      </vt:variant>
      <vt:variant>
        <vt:lpwstr/>
      </vt:variant>
      <vt:variant>
        <vt:i4>6488124</vt:i4>
      </vt:variant>
      <vt:variant>
        <vt:i4>0</vt:i4>
      </vt:variant>
      <vt:variant>
        <vt:i4>0</vt:i4>
      </vt:variant>
      <vt:variant>
        <vt:i4>5</vt:i4>
      </vt:variant>
      <vt:variant>
        <vt:lpwstr>https://www.census.gov/programs-surveys/saipe.html</vt:lpwstr>
      </vt:variant>
      <vt:variant>
        <vt:lpwstr/>
      </vt:variant>
      <vt:variant>
        <vt:i4>3407890</vt:i4>
      </vt:variant>
      <vt:variant>
        <vt:i4>3</vt:i4>
      </vt:variant>
      <vt:variant>
        <vt:i4>0</vt:i4>
      </vt:variant>
      <vt:variant>
        <vt:i4>5</vt:i4>
      </vt:variant>
      <vt:variant>
        <vt:lpwstr>mailto:TQPartnership@ed.gov</vt:lpwstr>
      </vt:variant>
      <vt:variant>
        <vt:lpwstr/>
      </vt:variant>
      <vt:variant>
        <vt:i4>4718666</vt:i4>
      </vt:variant>
      <vt:variant>
        <vt:i4>0</vt:i4>
      </vt:variant>
      <vt:variant>
        <vt:i4>0</vt:i4>
      </vt:variant>
      <vt:variant>
        <vt:i4>5</vt:i4>
      </vt:variant>
      <vt:variant>
        <vt:lpwstr>http://innovation.ed.gov/what-we-do/teacher-quality/teacher-quality-partnership/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Teacher Quality Partnership FAQs - For Clearance</dc:title>
  <dc:subject/>
  <dc:creator>Soren Lagaard</dc:creator>
  <cp:keywords/>
  <cp:lastModifiedBy>Hobson, Joe (Contractor)</cp:lastModifiedBy>
  <cp:revision>2</cp:revision>
  <cp:lastPrinted>2019-05-02T14:33:00Z</cp:lastPrinted>
  <dcterms:created xsi:type="dcterms:W3CDTF">2020-07-15T16:26:00Z</dcterms:created>
  <dcterms:modified xsi:type="dcterms:W3CDTF">2020-07-15T16:26:00Z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