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77777777" w:rsidR="008856AB" w:rsidRDefault="008856AB" w:rsidP="00E403B4">
      <w:pPr>
        <w:sectPr w:rsidR="008856AB" w:rsidSect="00C216C2">
          <w:headerReference w:type="even" r:id="rId11"/>
          <w:headerReference w:type="default" r:id="rId12"/>
          <w:footerReference w:type="even" r:id="rId13"/>
          <w:footerReference w:type="default" r:id="rId14"/>
          <w:headerReference w:type="first" r:id="rId15"/>
          <w:footerReference w:type="first" r:id="rId16"/>
          <w:pgSz w:w="12240" w:h="15840" w:code="1"/>
          <w:pgMar w:top="630" w:right="1440" w:bottom="990" w:left="1440" w:header="576" w:footer="576" w:gutter="0"/>
          <w:cols w:space="1980"/>
          <w:titlePg/>
          <w:docGrid w:linePitch="360"/>
        </w:sectPr>
      </w:pPr>
    </w:p>
    <w:p w14:paraId="31E97C48" w14:textId="77777777" w:rsidR="00CB1809" w:rsidRDefault="00CB1809" w:rsidP="00CB1809">
      <w:pPr>
        <w:pStyle w:val="Title"/>
      </w:pPr>
      <w:r>
        <w:rPr>
          <w:noProof/>
        </w:rPr>
        <w:drawing>
          <wp:inline distT="0" distB="0" distL="0" distR="0" wp14:anchorId="28D332BC" wp14:editId="494E1E4D">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6551935F" w14:textId="77777777" w:rsidR="00CB1809" w:rsidRDefault="00CB1809" w:rsidP="00CB1809">
      <w:pPr>
        <w:pStyle w:val="Title"/>
        <w:rPr>
          <w:color w:val="000080"/>
          <w:sz w:val="28"/>
        </w:rPr>
      </w:pP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2B1CE319" w14:textId="407A27D1" w:rsidR="003C0BAB" w:rsidRPr="00683DB7" w:rsidRDefault="003C0BAB" w:rsidP="003C0BAB">
      <w:pPr>
        <w:autoSpaceDE w:val="0"/>
        <w:autoSpaceDN w:val="0"/>
        <w:adjustRightInd w:val="0"/>
      </w:pPr>
      <w:r w:rsidRPr="00683DB7">
        <w:t xml:space="preserve">The Honorable </w:t>
      </w:r>
      <w:r w:rsidR="0077685D">
        <w:t>Car</w:t>
      </w:r>
      <w:r w:rsidR="005C3E0B">
        <w:t>e</w:t>
      </w:r>
      <w:r w:rsidR="0077685D">
        <w:t>y M. Wright</w:t>
      </w:r>
      <w:r w:rsidR="00E87626">
        <w:tab/>
      </w:r>
      <w:r w:rsidR="00E87626">
        <w:tab/>
      </w:r>
      <w:r w:rsidR="00E87626">
        <w:tab/>
      </w:r>
      <w:r w:rsidR="00E87626">
        <w:tab/>
      </w:r>
      <w:r w:rsidR="00E87626">
        <w:tab/>
        <w:t>October 28, 2019</w:t>
      </w:r>
    </w:p>
    <w:p w14:paraId="0E40EFEE" w14:textId="77777777" w:rsidR="003C0BAB" w:rsidRPr="00683DB7" w:rsidRDefault="003C0BAB" w:rsidP="003C0BAB">
      <w:pPr>
        <w:autoSpaceDE w:val="0"/>
        <w:autoSpaceDN w:val="0"/>
        <w:adjustRightInd w:val="0"/>
      </w:pPr>
      <w:r>
        <w:t>State Superintendent</w:t>
      </w:r>
      <w:r w:rsidRPr="00683DB7">
        <w:t xml:space="preserve"> of Education</w:t>
      </w:r>
    </w:p>
    <w:p w14:paraId="21FF7F08" w14:textId="77777777" w:rsidR="0046281C" w:rsidRDefault="0046281C" w:rsidP="0046281C">
      <w:pPr>
        <w:autoSpaceDE w:val="0"/>
        <w:autoSpaceDN w:val="0"/>
        <w:adjustRightInd w:val="0"/>
      </w:pPr>
      <w:r>
        <w:t>Mississippi Department of Education</w:t>
      </w:r>
    </w:p>
    <w:p w14:paraId="61B91645" w14:textId="77777777" w:rsidR="0046281C" w:rsidRDefault="0046281C" w:rsidP="0046281C">
      <w:pPr>
        <w:autoSpaceDE w:val="0"/>
        <w:autoSpaceDN w:val="0"/>
        <w:adjustRightInd w:val="0"/>
      </w:pPr>
      <w:r>
        <w:t>P.O. Box 771</w:t>
      </w:r>
    </w:p>
    <w:p w14:paraId="7618C78C" w14:textId="5C7C192C" w:rsidR="003C0BAB" w:rsidRDefault="0046281C" w:rsidP="0046281C">
      <w:pPr>
        <w:autoSpaceDE w:val="0"/>
        <w:autoSpaceDN w:val="0"/>
        <w:adjustRightInd w:val="0"/>
      </w:pPr>
      <w:r>
        <w:t>Jackson, MS 39205-0771</w:t>
      </w:r>
      <w:r w:rsidR="003C0BAB" w:rsidRPr="00683DB7">
        <w:tab/>
      </w:r>
    </w:p>
    <w:p w14:paraId="592ADD64" w14:textId="77777777" w:rsidR="0046281C" w:rsidRPr="00683DB7" w:rsidRDefault="0046281C" w:rsidP="0046281C">
      <w:pPr>
        <w:autoSpaceDE w:val="0"/>
        <w:autoSpaceDN w:val="0"/>
        <w:adjustRightInd w:val="0"/>
      </w:pPr>
    </w:p>
    <w:p w14:paraId="2FAC3D39" w14:textId="19C97F2A" w:rsidR="003C0BAB" w:rsidRPr="00683DB7" w:rsidRDefault="003C0BAB" w:rsidP="003C0BAB">
      <w:r w:rsidRPr="00683DB7">
        <w:t xml:space="preserve">Dear </w:t>
      </w:r>
      <w:r>
        <w:t xml:space="preserve">Superintendent </w:t>
      </w:r>
      <w:r w:rsidR="00A05F67">
        <w:t>Wright</w:t>
      </w:r>
      <w:r w:rsidRPr="00683DB7">
        <w:t>:</w:t>
      </w:r>
    </w:p>
    <w:p w14:paraId="1D3F296A" w14:textId="66B233C8" w:rsidR="00767B70" w:rsidRPr="00273F7D" w:rsidRDefault="00767B70" w:rsidP="0077675B"/>
    <w:p w14:paraId="1FF720C4" w14:textId="032100BA" w:rsidR="006F72BF" w:rsidRPr="00273F7D" w:rsidRDefault="006F72BF" w:rsidP="00DF3045">
      <w:pPr>
        <w:pStyle w:val="Default"/>
      </w:pPr>
      <w:r w:rsidRPr="00273F7D">
        <w:t xml:space="preserve">Thank you for your participation in the U.S. Department of Education’s (the Department) assessment peer review process under Title I of the </w:t>
      </w:r>
      <w:r w:rsidRPr="00273F7D">
        <w:rPr>
          <w:color w:val="auto"/>
        </w:rPr>
        <w:t>Elementary and Secondary Education Act of 1965 (ES</w:t>
      </w:r>
      <w:r w:rsidR="00906003" w:rsidRPr="00273F7D">
        <w:rPr>
          <w:color w:val="auto"/>
        </w:rPr>
        <w:t xml:space="preserve">EA), as amended </w:t>
      </w:r>
      <w:r w:rsidR="00FC7B9B" w:rsidRPr="00273F7D">
        <w:rPr>
          <w:color w:val="auto"/>
        </w:rPr>
        <w:t>by</w:t>
      </w:r>
      <w:r w:rsidR="00906003" w:rsidRPr="00273F7D">
        <w:rPr>
          <w:color w:val="auto"/>
        </w:rPr>
        <w:t xml:space="preserve"> t</w:t>
      </w:r>
      <w:r w:rsidRPr="00273F7D">
        <w:rPr>
          <w:color w:val="auto"/>
        </w:rPr>
        <w:t xml:space="preserve">he Every Student Succeeds Act (ESSA). </w:t>
      </w:r>
      <w:r w:rsidRPr="00273F7D">
        <w:t xml:space="preserve">I appreciate the efforts of the </w:t>
      </w:r>
      <w:r w:rsidR="0080148B">
        <w:t xml:space="preserve">Mississippi </w:t>
      </w:r>
      <w:r w:rsidR="00FE029E" w:rsidRPr="00273F7D">
        <w:t xml:space="preserve">Department of Education </w:t>
      </w:r>
      <w:r w:rsidR="00EB3150">
        <w:t>(</w:t>
      </w:r>
      <w:r w:rsidR="00AD20BA">
        <w:t>MDE</w:t>
      </w:r>
      <w:r w:rsidR="00EB3150">
        <w:t>)</w:t>
      </w:r>
      <w:r w:rsidRPr="00273F7D">
        <w:t xml:space="preserve"> to prepare for the </w:t>
      </w:r>
      <w:r w:rsidR="00910013" w:rsidRPr="00273F7D">
        <w:t xml:space="preserve">English </w:t>
      </w:r>
      <w:r w:rsidR="0034465F">
        <w:t>l</w:t>
      </w:r>
      <w:r w:rsidR="00910013" w:rsidRPr="00273F7D">
        <w:t xml:space="preserve">anguage </w:t>
      </w:r>
      <w:r w:rsidR="0034465F">
        <w:t>p</w:t>
      </w:r>
      <w:r w:rsidR="00910013" w:rsidRPr="00273F7D">
        <w:t xml:space="preserve">roficiency (ELP) </w:t>
      </w:r>
      <w:r w:rsidR="0034465F">
        <w:t xml:space="preserve">assessment </w:t>
      </w:r>
      <w:r w:rsidRPr="00273F7D">
        <w:t xml:space="preserve">peer review, which occurred in </w:t>
      </w:r>
      <w:r w:rsidR="00D37F23" w:rsidRPr="00273F7D">
        <w:t>April</w:t>
      </w:r>
      <w:r w:rsidR="00DF3045" w:rsidRPr="00273F7D">
        <w:t xml:space="preserve"> 2019</w:t>
      </w:r>
      <w:r w:rsidRPr="00273F7D">
        <w:t xml:space="preserve">. </w:t>
      </w:r>
      <w:r w:rsidR="00DF3045" w:rsidRPr="00273F7D">
        <w:t xml:space="preserve">Specifically, </w:t>
      </w:r>
      <w:r w:rsidR="00AD20BA">
        <w:t>MDE</w:t>
      </w:r>
      <w:r w:rsidR="00860FFA" w:rsidRPr="00273F7D">
        <w:t xml:space="preserve"> </w:t>
      </w:r>
      <w:r w:rsidR="00DF3045" w:rsidRPr="00273F7D">
        <w:t xml:space="preserve">submitted evidence regarding </w:t>
      </w:r>
      <w:r w:rsidR="00A05F67">
        <w:t>the LAS Links</w:t>
      </w:r>
      <w:r w:rsidR="00B86312" w:rsidRPr="00273F7D">
        <w:t xml:space="preserve">. </w:t>
      </w:r>
    </w:p>
    <w:p w14:paraId="0E812C49" w14:textId="77777777" w:rsidR="006F72BF" w:rsidRPr="00273F7D" w:rsidRDefault="006F72BF" w:rsidP="006F72BF">
      <w:pPr>
        <w:pStyle w:val="Default"/>
      </w:pPr>
    </w:p>
    <w:p w14:paraId="56EE51E4" w14:textId="6354EE18" w:rsidR="00922343" w:rsidRPr="00922343" w:rsidRDefault="00922343" w:rsidP="00922343">
      <w:pPr>
        <w:pStyle w:val="Default"/>
      </w:pPr>
      <w:r w:rsidRPr="00922343">
        <w:t xml:space="preserve">The ESEA and its implementing regulations require a State to ensure that its local education agencies (LEAs) provide an annual ELP assessment of all English learners (ELs) in grades K-12 in schools served by the State (ESEA section 1111(b)(2)(G); 34 CFR § 200.6(h)). Specifically, the ESEA requires a State to develop a uniform statewide ELP assessment to measure the </w:t>
      </w:r>
      <w:r w:rsidR="000C50E8">
        <w:t>ELP</w:t>
      </w:r>
      <w:r w:rsidRPr="00922343">
        <w:t xml:space="preserve"> of all ELs in the State, including ELs with disabilities, </w:t>
      </w:r>
      <w:r w:rsidR="00D30785">
        <w:t xml:space="preserve">and to provide </w:t>
      </w:r>
      <w:r w:rsidR="00DF3B36" w:rsidRPr="00922343">
        <w:t xml:space="preserve">an alternate ELP assessment (AELPA) </w:t>
      </w:r>
      <w:r w:rsidR="00DF3B36">
        <w:t xml:space="preserve">for </w:t>
      </w:r>
      <w:r w:rsidRPr="00922343">
        <w:t xml:space="preserve">ELs who are students with the most significant cognitive disabilities </w:t>
      </w:r>
      <w:r w:rsidR="00DF3B36">
        <w:t xml:space="preserve">who </w:t>
      </w:r>
      <w:r w:rsidRPr="00922343">
        <w:t xml:space="preserve">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51877266" w14:textId="77777777" w:rsidR="00922343" w:rsidRPr="00273F7D" w:rsidRDefault="00922343" w:rsidP="00054055">
      <w:pPr>
        <w:pStyle w:val="Default"/>
      </w:pPr>
    </w:p>
    <w:p w14:paraId="137E5D60" w14:textId="27BBE27F" w:rsidR="00117968" w:rsidRPr="00273F7D" w:rsidRDefault="006F72BF" w:rsidP="00054055">
      <w:pPr>
        <w:pStyle w:val="Default"/>
      </w:pPr>
      <w:r w:rsidRPr="00273F7D">
        <w:t xml:space="preserve">External peer reviewers and Department staff carefully evaluated </w:t>
      </w:r>
      <w:r w:rsidR="00AD4C88">
        <w:t>MDE’s</w:t>
      </w:r>
      <w:r w:rsidR="00860FFA" w:rsidRPr="00273F7D">
        <w:t xml:space="preserve"> </w:t>
      </w:r>
      <w:r w:rsidRPr="00273F7D">
        <w:t xml:space="preserve">submission and the Department found, based on the evidence received, </w:t>
      </w:r>
      <w:r w:rsidR="00117968" w:rsidRPr="00273F7D">
        <w:t>that th</w:t>
      </w:r>
      <w:r w:rsidR="009D037A" w:rsidRPr="00273F7D">
        <w:t>is</w:t>
      </w:r>
      <w:r w:rsidR="00117968" w:rsidRPr="00273F7D">
        <w:t xml:space="preserve"> component of your assessment system met </w:t>
      </w:r>
      <w:r w:rsidR="00DE7F86">
        <w:t>some</w:t>
      </w:r>
      <w:r w:rsidR="00117968" w:rsidRPr="00273F7D">
        <w:t xml:space="preserve">, but not all of the statutory and regulatory requirements of the ESEA. </w:t>
      </w:r>
      <w:r w:rsidR="009B292B" w:rsidRPr="00273F7D">
        <w:t>B</w:t>
      </w:r>
      <w:r w:rsidR="007031E6" w:rsidRPr="00273F7D">
        <w:t xml:space="preserve">ased </w:t>
      </w:r>
      <w:r w:rsidR="00117968" w:rsidRPr="00273F7D">
        <w:t>on the recommendations from this peer review and our own analysis of the State’s submission, I have determined the following:</w:t>
      </w:r>
    </w:p>
    <w:p w14:paraId="36AF1577" w14:textId="77777777" w:rsidR="004D5DDB" w:rsidRPr="00273F7D" w:rsidRDefault="004D5DDB" w:rsidP="00054055">
      <w:pPr>
        <w:pStyle w:val="Default"/>
      </w:pPr>
    </w:p>
    <w:p w14:paraId="1301AA81" w14:textId="33D1226E" w:rsidR="000C543B" w:rsidRPr="00273F7D" w:rsidRDefault="00B371AF" w:rsidP="008D31CB">
      <w:pPr>
        <w:numPr>
          <w:ilvl w:val="1"/>
          <w:numId w:val="2"/>
        </w:numPr>
      </w:pPr>
      <w:r>
        <w:t>General ELP assessment (</w:t>
      </w:r>
      <w:r w:rsidR="002831E5">
        <w:t>LAS Links</w:t>
      </w:r>
      <w:r>
        <w:t>):</w:t>
      </w:r>
      <w:r w:rsidR="000C543B" w:rsidRPr="00273F7D">
        <w:t xml:space="preserve"> </w:t>
      </w:r>
      <w:r w:rsidR="00510D87">
        <w:rPr>
          <w:b/>
        </w:rPr>
        <w:t>Partially meets</w:t>
      </w:r>
      <w:r w:rsidR="002831E5">
        <w:rPr>
          <w:b/>
        </w:rPr>
        <w:t xml:space="preserve"> the</w:t>
      </w:r>
      <w:r w:rsidR="000C543B" w:rsidRPr="00273F7D">
        <w:rPr>
          <w:b/>
        </w:rPr>
        <w:t xml:space="preserve"> requirements</w:t>
      </w:r>
      <w:r>
        <w:rPr>
          <w:b/>
        </w:rPr>
        <w:t xml:space="preserve"> of the ESEA</w:t>
      </w:r>
      <w:r w:rsidR="000C50E8">
        <w:rPr>
          <w:b/>
        </w:rPr>
        <w:t>,</w:t>
      </w:r>
      <w:r>
        <w:rPr>
          <w:b/>
        </w:rPr>
        <w:t xml:space="preserve"> as amended by ESSA.</w:t>
      </w:r>
    </w:p>
    <w:p w14:paraId="4C9807EE" w14:textId="77777777" w:rsidR="002A799F" w:rsidRPr="00273F7D" w:rsidRDefault="002A799F" w:rsidP="002A799F">
      <w:pPr>
        <w:rPr>
          <w:rFonts w:eastAsia="Calibri"/>
        </w:rPr>
      </w:pPr>
    </w:p>
    <w:p w14:paraId="7A327BDB" w14:textId="153C331B" w:rsidR="00890342" w:rsidRDefault="00510D87" w:rsidP="00890342">
      <w:pPr>
        <w:autoSpaceDE w:val="0"/>
        <w:autoSpaceDN w:val="0"/>
        <w:adjustRightInd w:val="0"/>
      </w:pPr>
      <w:r w:rsidRPr="00510D87">
        <w:rPr>
          <w:rFonts w:eastAsia="Calibri"/>
        </w:rPr>
        <w:t xml:space="preserve">An assessment that partially meets requirements does not meet a number of the requirements of the statute and regulations and </w:t>
      </w:r>
      <w:r>
        <w:rPr>
          <w:rFonts w:eastAsia="Calibri"/>
        </w:rPr>
        <w:t>MDE</w:t>
      </w:r>
      <w:r w:rsidRPr="00510D87">
        <w:rPr>
          <w:rFonts w:eastAsia="Calibri"/>
        </w:rPr>
        <w:t xml:space="preserve"> will need to provide substantial additional information to demonstrate it meets the requirements. The Department realizes that this was the first time your State </w:t>
      </w:r>
      <w:r w:rsidRPr="00510D87">
        <w:rPr>
          <w:rFonts w:eastAsia="Calibri"/>
        </w:rPr>
        <w:lastRenderedPageBreak/>
        <w:t>was required to provide its ELP assessment for peer review and recognizes that it may take some time</w:t>
      </w:r>
      <w:r w:rsidR="009E0AA7">
        <w:rPr>
          <w:rFonts w:eastAsia="Calibri"/>
        </w:rPr>
        <w:t xml:space="preserve"> </w:t>
      </w:r>
      <w:r w:rsidRPr="00510D87">
        <w:rPr>
          <w:rFonts w:eastAsia="Calibri"/>
        </w:rPr>
        <w:t xml:space="preserve">to address all of the required items. The specific list of items required for </w:t>
      </w:r>
      <w:r>
        <w:rPr>
          <w:rFonts w:eastAsia="Calibri"/>
        </w:rPr>
        <w:t>MDE</w:t>
      </w:r>
      <w:r w:rsidRPr="00510D87">
        <w:rPr>
          <w:rFonts w:eastAsia="Calibri"/>
        </w:rPr>
        <w:t xml:space="preserve"> to submit is enclosed with this letter.</w:t>
      </w:r>
      <w:r w:rsidR="009E0AA7">
        <w:rPr>
          <w:rFonts w:eastAsia="Calibri"/>
        </w:rPr>
        <w:t xml:space="preserve"> </w:t>
      </w:r>
      <w:r w:rsidR="00CA2FB0">
        <w:rPr>
          <w:rFonts w:eastAsia="Calibri"/>
        </w:rPr>
        <w:t>MDE</w:t>
      </w:r>
      <w:r w:rsidR="00890342">
        <w:rPr>
          <w:rFonts w:eastAsia="Calibri"/>
        </w:rPr>
        <w:t xml:space="preserve"> </w:t>
      </w:r>
      <w:r w:rsidR="00890342">
        <w:t>must submit a plan within 30 days outlining when it will submit all required additional documentation for peer review. Upon submission of the plan, the Department will reach out to determine a mutually agreeable schedule. Resubmission should occur once all necessary evidence is complete (rather than in multiple submissions).</w:t>
      </w:r>
    </w:p>
    <w:p w14:paraId="7DC671D9" w14:textId="77777777" w:rsidR="00890342" w:rsidRDefault="00890342" w:rsidP="00890342">
      <w:pPr>
        <w:autoSpaceDE w:val="0"/>
        <w:autoSpaceDN w:val="0"/>
        <w:adjustRightInd w:val="0"/>
      </w:pPr>
    </w:p>
    <w:p w14:paraId="410A843F" w14:textId="41814C94" w:rsidR="00890342" w:rsidRPr="00273F7D" w:rsidRDefault="00890342" w:rsidP="00890342">
      <w:pPr>
        <w:autoSpaceDE w:val="0"/>
        <w:autoSpaceDN w:val="0"/>
        <w:adjustRightInd w:val="0"/>
      </w:pPr>
      <w:r>
        <w:t xml:space="preserve">Furthermore, </w:t>
      </w:r>
      <w:r w:rsidR="00CA2FB0">
        <w:t>MDE</w:t>
      </w:r>
      <w:r>
        <w:t xml:space="preserve"> did not submit evidence for an alternate ELP assessment for ELs with significant cognitive disabilities who are unable to take the regular ELP assessment. </w:t>
      </w:r>
      <w:r w:rsidR="00CA2FB0">
        <w:t>MDE</w:t>
      </w:r>
      <w:r>
        <w:t xml:space="preserve"> must provide a plan and timeline for when this required assessment will be submitted for peer review. </w:t>
      </w:r>
      <w:r w:rsidRPr="00273F7D">
        <w:t xml:space="preserve">The Department will be placing a condition on </w:t>
      </w:r>
      <w:r w:rsidR="00CA2FB0">
        <w:t>MDE</w:t>
      </w:r>
      <w:r>
        <w:t>’s</w:t>
      </w:r>
      <w:r w:rsidRPr="00273F7D">
        <w:t xml:space="preserve"> Title I, Part A grant award. The condition shall remain until</w:t>
      </w:r>
      <w:r>
        <w:t xml:space="preserve"> </w:t>
      </w:r>
      <w:r w:rsidR="000675CA">
        <w:t>MDE</w:t>
      </w:r>
      <w:r>
        <w:t>’</w:t>
      </w:r>
      <w:r w:rsidRPr="00273F7D">
        <w:t xml:space="preserve">s ELP and alternate ELP assessments have been determined to meet all requirements. If adequate progress is not made, the Department may take additional action.  </w:t>
      </w:r>
    </w:p>
    <w:p w14:paraId="3488ABC5" w14:textId="77777777" w:rsidR="00890342" w:rsidRDefault="00890342" w:rsidP="00B1362D">
      <w:pPr>
        <w:rPr>
          <w:rFonts w:eastAsia="Calibri"/>
        </w:rPr>
      </w:pPr>
    </w:p>
    <w:p w14:paraId="5DB99559" w14:textId="0E334C36" w:rsidR="00AB59CA" w:rsidRPr="00273F7D" w:rsidRDefault="00AB59CA" w:rsidP="00AB59CA">
      <w:pPr>
        <w:contextualSpacing/>
      </w:pPr>
      <w:r>
        <w:t>T</w:t>
      </w:r>
      <w:r w:rsidRPr="00273F7D">
        <w:t xml:space="preserve">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1E4AD5AE" w14:textId="77777777" w:rsidR="00AB59CA" w:rsidRDefault="00AB59CA" w:rsidP="0074254D"/>
    <w:p w14:paraId="0C995FAD" w14:textId="1863A555" w:rsidR="00F41E33" w:rsidRPr="00273F7D" w:rsidRDefault="00F41E33" w:rsidP="00C57EA2">
      <w:r w:rsidRPr="00273F7D">
        <w:t xml:space="preserve">Additionally, the Office of Special Education and Rehabilitative Services (OSERS) will monitor progress on </w:t>
      </w:r>
      <w:r w:rsidRPr="00273F7D">
        <w:rPr>
          <w:rFonts w:eastAsia="Calibri"/>
        </w:rPr>
        <w:t xml:space="preserve">matters pertaining to requirements in the Individuals with Disabilities Education Act (IDEA) related to the participation of students with disabilities in Title I assessments. </w:t>
      </w:r>
      <w:r w:rsidRPr="00273F7D">
        <w:t xml:space="preserve">In particular, OSERS will monitor progress against critical elements </w:t>
      </w:r>
      <w:r w:rsidR="00F6213E">
        <w:t>1.</w:t>
      </w:r>
      <w:r w:rsidR="00377A1E">
        <w:t>3</w:t>
      </w:r>
      <w:r w:rsidR="00F6213E">
        <w:t xml:space="preserve">, 4.2, </w:t>
      </w:r>
      <w:r w:rsidR="00F6213E" w:rsidRPr="00E44053">
        <w:t>5.1</w:t>
      </w:r>
      <w:r w:rsidR="00510D87">
        <w:t xml:space="preserve"> and </w:t>
      </w:r>
      <w:r w:rsidR="00F6213E" w:rsidRPr="00E44053">
        <w:t>5.3</w:t>
      </w:r>
      <w:r w:rsidRPr="00273F7D">
        <w:t xml:space="preserve">. </w:t>
      </w:r>
      <w:r w:rsidRPr="00273F7D">
        <w:rPr>
          <w:rFonts w:eastAsia="Calibri"/>
        </w:rPr>
        <w:t xml:space="preserve">Insufficient progress to address such matters may lead OSERS to place a condition on </w:t>
      </w:r>
      <w:r w:rsidR="004909CB">
        <w:rPr>
          <w:rFonts w:eastAsia="Calibri"/>
        </w:rPr>
        <w:t>MDE’s</w:t>
      </w:r>
      <w:r w:rsidRPr="00273F7D">
        <w:rPr>
          <w:rFonts w:eastAsia="Calibri"/>
        </w:rPr>
        <w:t xml:space="preserve"> </w:t>
      </w:r>
      <w:r w:rsidR="006F455E">
        <w:rPr>
          <w:rFonts w:eastAsia="Calibri"/>
        </w:rPr>
        <w:t>fiscal year</w:t>
      </w:r>
      <w:r w:rsidRPr="00273F7D">
        <w:rPr>
          <w:rFonts w:eastAsia="Calibri"/>
        </w:rPr>
        <w:t xml:space="preserve"> 20</w:t>
      </w:r>
      <w:r w:rsidR="00F6213E">
        <w:rPr>
          <w:rFonts w:eastAsia="Calibri"/>
        </w:rPr>
        <w:t>20</w:t>
      </w:r>
      <w:r w:rsidRPr="00273F7D">
        <w:rPr>
          <w:rFonts w:eastAsia="Calibri"/>
        </w:rPr>
        <w:t xml:space="preserve"> IDEA Part B grant award.</w:t>
      </w:r>
      <w:r w:rsidRPr="00273F7D">
        <w:t xml:space="preserve">  </w:t>
      </w:r>
    </w:p>
    <w:p w14:paraId="57D320E5" w14:textId="77777777" w:rsidR="00B74554" w:rsidRPr="00273F7D" w:rsidRDefault="00B74554" w:rsidP="00F20567">
      <w:pPr>
        <w:contextualSpacing/>
      </w:pPr>
    </w:p>
    <w:p w14:paraId="0F83D571" w14:textId="0A393146" w:rsidR="00117968" w:rsidRPr="00273F7D" w:rsidRDefault="00117968" w:rsidP="00D86E05">
      <w:pPr>
        <w:contextualSpacing/>
      </w:pPr>
      <w:r w:rsidRPr="00273F7D">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7CECBF1E" w14:textId="77777777" w:rsidR="00117968" w:rsidRPr="00273F7D" w:rsidRDefault="00117968" w:rsidP="00117968">
      <w:pPr>
        <w:tabs>
          <w:tab w:val="left" w:pos="6120"/>
        </w:tabs>
      </w:pPr>
    </w:p>
    <w:p w14:paraId="68D49512" w14:textId="6E772BC9" w:rsidR="00117968" w:rsidRPr="00273F7D" w:rsidRDefault="00117968" w:rsidP="00117968">
      <w:pPr>
        <w:tabs>
          <w:tab w:val="left" w:pos="6120"/>
        </w:tabs>
      </w:pPr>
      <w:r w:rsidRPr="00273F7D">
        <w:t xml:space="preserve">If you have any questions, please contact my staff at: </w:t>
      </w:r>
      <w:r w:rsidR="00AB2CE8">
        <w:rPr>
          <w:u w:val="single"/>
        </w:rPr>
        <w:t>ESEA.Assessment</w:t>
      </w:r>
      <w:r w:rsidRPr="00273F7D">
        <w:rPr>
          <w:u w:val="single"/>
        </w:rPr>
        <w:t>@ed.gov</w:t>
      </w:r>
      <w:r w:rsidRPr="00273F7D">
        <w:t>.</w:t>
      </w:r>
    </w:p>
    <w:p w14:paraId="3E67BC70" w14:textId="77777777" w:rsidR="00117968" w:rsidRPr="00273F7D" w:rsidRDefault="00117968" w:rsidP="00117968"/>
    <w:p w14:paraId="2CB4F9EB" w14:textId="77777777" w:rsidR="00117968" w:rsidRPr="00273F7D" w:rsidRDefault="00117968" w:rsidP="00117968">
      <w:pPr>
        <w:ind w:left="5400"/>
      </w:pPr>
      <w:r w:rsidRPr="00273F7D">
        <w:t xml:space="preserve">Sincerely, </w:t>
      </w:r>
    </w:p>
    <w:p w14:paraId="35E46F0F" w14:textId="77777777" w:rsidR="00117968" w:rsidRPr="00273F7D" w:rsidRDefault="00117968" w:rsidP="00117968">
      <w:pPr>
        <w:ind w:left="5400"/>
      </w:pPr>
    </w:p>
    <w:p w14:paraId="6BF8C652" w14:textId="53ADB7F5" w:rsidR="000C50E8" w:rsidRDefault="000C50E8" w:rsidP="00F435E4">
      <w:pPr>
        <w:ind w:left="5400"/>
      </w:pPr>
    </w:p>
    <w:p w14:paraId="4A771728" w14:textId="6FE0A575" w:rsidR="00000117" w:rsidRDefault="00E87626" w:rsidP="00F435E4">
      <w:pPr>
        <w:ind w:left="5400"/>
      </w:pPr>
      <w:r>
        <w:t>/s/</w:t>
      </w:r>
      <w:bookmarkStart w:id="0" w:name="_GoBack"/>
      <w:bookmarkEnd w:id="0"/>
    </w:p>
    <w:p w14:paraId="0EAFDEBE" w14:textId="65398D90" w:rsidR="00FB195D" w:rsidRPr="00273F7D" w:rsidRDefault="002A799F" w:rsidP="00F435E4">
      <w:pPr>
        <w:ind w:left="5400"/>
      </w:pPr>
      <w:r w:rsidRPr="00273F7D">
        <w:t>Frank</w:t>
      </w:r>
      <w:r w:rsidR="00B3352C" w:rsidRPr="00273F7D">
        <w:t xml:space="preserve"> T.</w:t>
      </w:r>
      <w:r w:rsidRPr="00273F7D">
        <w:t xml:space="preserve"> Brogan</w:t>
      </w:r>
    </w:p>
    <w:p w14:paraId="43DCF1BF" w14:textId="77777777" w:rsidR="00F577BC" w:rsidRDefault="00FB195D" w:rsidP="002A799F">
      <w:pPr>
        <w:ind w:left="5400"/>
      </w:pPr>
      <w:r w:rsidRPr="00273F7D">
        <w:t>Assistant Secretary</w:t>
      </w:r>
      <w:r w:rsidR="00B3352C" w:rsidRPr="00273F7D">
        <w:t xml:space="preserve"> </w:t>
      </w:r>
    </w:p>
    <w:p w14:paraId="181698F9" w14:textId="308121BB" w:rsidR="00FB195D" w:rsidRPr="00273F7D" w:rsidRDefault="00F577BC" w:rsidP="00F577BC">
      <w:pPr>
        <w:ind w:left="5400"/>
      </w:pPr>
      <w:r>
        <w:t>f</w:t>
      </w:r>
      <w:r w:rsidR="00B3352C" w:rsidRPr="00273F7D">
        <w:t>or</w:t>
      </w:r>
      <w:r>
        <w:t xml:space="preserve"> </w:t>
      </w:r>
      <w:r w:rsidR="00FB195D" w:rsidRPr="00273F7D">
        <w:t>Elementary and Secondary Education</w:t>
      </w:r>
    </w:p>
    <w:p w14:paraId="75463439" w14:textId="77777777" w:rsidR="00117968" w:rsidRPr="00273F7D" w:rsidRDefault="00117968" w:rsidP="00117968">
      <w:pPr>
        <w:ind w:left="3600" w:firstLine="720"/>
      </w:pPr>
    </w:p>
    <w:p w14:paraId="214E6120" w14:textId="77777777" w:rsidR="00117968" w:rsidRPr="00273F7D" w:rsidRDefault="00117968" w:rsidP="00117968">
      <w:r w:rsidRPr="00273F7D">
        <w:t>Enclosures</w:t>
      </w:r>
    </w:p>
    <w:p w14:paraId="68CFDFBD" w14:textId="77777777" w:rsidR="00F435E4" w:rsidRPr="00273F7D" w:rsidRDefault="00F435E4" w:rsidP="00117968"/>
    <w:p w14:paraId="6D405821" w14:textId="441D7357" w:rsidR="00C55218" w:rsidRPr="00273F7D" w:rsidRDefault="0078678E" w:rsidP="006F17F3">
      <w:pPr>
        <w:sectPr w:rsidR="00C55218" w:rsidRPr="00273F7D" w:rsidSect="00894900">
          <w:headerReference w:type="default" r:id="rId18"/>
          <w:footerReference w:type="default" r:id="rId19"/>
          <w:headerReference w:type="first" r:id="rId20"/>
          <w:type w:val="continuous"/>
          <w:pgSz w:w="12240" w:h="15840" w:code="1"/>
          <w:pgMar w:top="720" w:right="1152" w:bottom="994" w:left="1166" w:header="576" w:footer="576" w:gutter="0"/>
          <w:cols w:space="720"/>
          <w:titlePg/>
          <w:docGrid w:linePitch="360"/>
        </w:sectPr>
      </w:pPr>
      <w:r w:rsidRPr="00273F7D">
        <w:t xml:space="preserve">cc: </w:t>
      </w:r>
      <w:r w:rsidR="006B3F25">
        <w:t>Jac</w:t>
      </w:r>
      <w:r w:rsidR="00596A61">
        <w:t>kie Sampsell, State Assessment Director</w:t>
      </w:r>
    </w:p>
    <w:p w14:paraId="24460F2C" w14:textId="77777777" w:rsidR="00454B82" w:rsidRDefault="00454B82">
      <w:pPr>
        <w:rPr>
          <w:b/>
        </w:rPr>
        <w:sectPr w:rsidR="00454B82" w:rsidSect="00167692">
          <w:headerReference w:type="default" r:id="rId21"/>
          <w:type w:val="continuous"/>
          <w:pgSz w:w="12240" w:h="15840" w:code="1"/>
          <w:pgMar w:top="1080" w:right="1080" w:bottom="990" w:left="1080" w:header="576" w:footer="576" w:gutter="0"/>
          <w:cols w:space="720"/>
          <w:titlePg/>
          <w:docGrid w:linePitch="360"/>
        </w:sectPr>
      </w:pPr>
    </w:p>
    <w:p w14:paraId="11A3DCFE" w14:textId="343BDE92" w:rsidR="00984472" w:rsidRDefault="00984472" w:rsidP="00984472">
      <w:pPr>
        <w:rPr>
          <w:b/>
        </w:rPr>
      </w:pPr>
      <w:r>
        <w:rPr>
          <w:b/>
        </w:rPr>
        <w:lastRenderedPageBreak/>
        <w:t xml:space="preserve">Critical Elements Where Additional Evidence is Needed to Meet the Requirements for </w:t>
      </w:r>
      <w:r w:rsidR="00752DC2">
        <w:rPr>
          <w:b/>
        </w:rPr>
        <w:t>Mississippi’s</w:t>
      </w:r>
      <w:r>
        <w:rPr>
          <w:b/>
        </w:rPr>
        <w:t xml:space="preserve"> Use of the </w:t>
      </w:r>
      <w:r w:rsidR="00752DC2">
        <w:rPr>
          <w:b/>
        </w:rPr>
        <w:t xml:space="preserve">LAS Links </w:t>
      </w:r>
      <w:r w:rsidR="00A87EA6">
        <w:rPr>
          <w:b/>
        </w:rPr>
        <w:t>as</w:t>
      </w:r>
      <w:r>
        <w:rPr>
          <w:b/>
        </w:rPr>
        <w:t xml:space="preserve"> </w:t>
      </w:r>
      <w:r w:rsidR="00752DC2">
        <w:rPr>
          <w:b/>
        </w:rPr>
        <w:t xml:space="preserve">an </w:t>
      </w:r>
      <w:r>
        <w:rPr>
          <w:b/>
        </w:rPr>
        <w:t xml:space="preserve">English Language Proficiency </w:t>
      </w:r>
      <w:r w:rsidR="00000117">
        <w:rPr>
          <w:b/>
        </w:rPr>
        <w:t xml:space="preserve">(ELP) </w:t>
      </w:r>
      <w:r>
        <w:rPr>
          <w:b/>
        </w:rPr>
        <w:t>Assessment</w:t>
      </w:r>
    </w:p>
    <w:p w14:paraId="3FEEFBFC" w14:textId="65DE8DB9" w:rsidR="00DC2800" w:rsidRDefault="00DC2800" w:rsidP="00984472">
      <w:pPr>
        <w:rPr>
          <w:b/>
        </w:rPr>
      </w:pPr>
    </w:p>
    <w:tbl>
      <w:tblPr>
        <w:tblW w:w="10350" w:type="dxa"/>
        <w:tblLook w:val="04A0" w:firstRow="1" w:lastRow="0" w:firstColumn="1" w:lastColumn="0" w:noHBand="0" w:noVBand="1"/>
      </w:tblPr>
      <w:tblGrid>
        <w:gridCol w:w="2448"/>
        <w:gridCol w:w="7902"/>
      </w:tblGrid>
      <w:tr w:rsidR="00510D87" w:rsidRPr="004E0D61" w14:paraId="767BE9B9" w14:textId="77777777" w:rsidTr="00414030">
        <w:trPr>
          <w:trHeight w:val="300"/>
          <w:tblHeader/>
        </w:trPr>
        <w:tc>
          <w:tcPr>
            <w:tcW w:w="2448" w:type="dxa"/>
            <w:tcBorders>
              <w:top w:val="nil"/>
              <w:left w:val="nil"/>
              <w:bottom w:val="single" w:sz="4" w:space="0" w:color="95B3D7" w:themeColor="accent1" w:themeTint="99"/>
              <w:right w:val="nil"/>
            </w:tcBorders>
            <w:shd w:val="clear" w:color="auto" w:fill="DCE6F1"/>
            <w:noWrap/>
            <w:vAlign w:val="bottom"/>
            <w:hideMark/>
          </w:tcPr>
          <w:p w14:paraId="1FAF413E" w14:textId="77777777" w:rsidR="00510D87" w:rsidRPr="00414030" w:rsidRDefault="00510D87" w:rsidP="000034D3">
            <w:pPr>
              <w:rPr>
                <w:b/>
                <w:bCs/>
                <w:color w:val="000000"/>
              </w:rPr>
            </w:pPr>
            <w:r w:rsidRPr="00414030">
              <w:rPr>
                <w:b/>
                <w:bCs/>
                <w:color w:val="000000"/>
              </w:rPr>
              <w:t>Critical Element</w:t>
            </w:r>
          </w:p>
        </w:tc>
        <w:tc>
          <w:tcPr>
            <w:tcW w:w="7902" w:type="dxa"/>
            <w:tcBorders>
              <w:top w:val="nil"/>
              <w:left w:val="nil"/>
              <w:bottom w:val="single" w:sz="4" w:space="0" w:color="95B3D7" w:themeColor="accent1" w:themeTint="99"/>
              <w:right w:val="nil"/>
            </w:tcBorders>
            <w:shd w:val="clear" w:color="auto" w:fill="DCE6F1"/>
            <w:noWrap/>
            <w:vAlign w:val="bottom"/>
          </w:tcPr>
          <w:p w14:paraId="7A324B33" w14:textId="77777777" w:rsidR="00510D87" w:rsidRPr="00414030" w:rsidRDefault="00510D87" w:rsidP="000034D3">
            <w:pPr>
              <w:rPr>
                <w:b/>
                <w:bCs/>
                <w:color w:val="000000"/>
              </w:rPr>
            </w:pPr>
            <w:r w:rsidRPr="00414030">
              <w:rPr>
                <w:b/>
                <w:bCs/>
                <w:color w:val="000000"/>
              </w:rPr>
              <w:t>Additional Evidence Needed</w:t>
            </w:r>
          </w:p>
        </w:tc>
      </w:tr>
      <w:tr w:rsidR="00510D87" w:rsidRPr="004E0D61" w14:paraId="77472D36" w14:textId="77777777" w:rsidTr="00414030">
        <w:trPr>
          <w:trHeight w:val="935"/>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0AC24456" w14:textId="77777777" w:rsidR="00510D87" w:rsidRPr="00414030" w:rsidRDefault="00510D87" w:rsidP="000034D3">
            <w:pPr>
              <w:rPr>
                <w:b/>
                <w:bCs/>
                <w:color w:val="000000"/>
              </w:rPr>
            </w:pPr>
            <w:r w:rsidRPr="00414030">
              <w:rPr>
                <w:b/>
                <w:bCs/>
                <w:color w:val="000000"/>
              </w:rPr>
              <w:t xml:space="preserve">1.1 – State Adoption of ELP Standards for All English Learners  </w:t>
            </w: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5DC6203C" w14:textId="77777777" w:rsidR="00510D87" w:rsidRPr="00414030" w:rsidRDefault="00510D87" w:rsidP="000034D3">
            <w:pPr>
              <w:rPr>
                <w:color w:val="000000"/>
              </w:rPr>
            </w:pPr>
            <w:r w:rsidRPr="00414030">
              <w:rPr>
                <w:color w:val="000000"/>
              </w:rPr>
              <w:t>For the State’s assessment system:</w:t>
            </w:r>
          </w:p>
          <w:p w14:paraId="14CF7EFB" w14:textId="77777777" w:rsidR="00510D87" w:rsidRPr="00414030" w:rsidRDefault="00510D87" w:rsidP="008D31CB">
            <w:pPr>
              <w:pStyle w:val="ListParagraph"/>
              <w:numPr>
                <w:ilvl w:val="0"/>
                <w:numId w:val="8"/>
              </w:numPr>
              <w:ind w:left="250" w:hanging="250"/>
              <w:rPr>
                <w:color w:val="000000"/>
              </w:rPr>
            </w:pPr>
            <w:r w:rsidRPr="00414030">
              <w:rPr>
                <w:color w:val="000000"/>
              </w:rPr>
              <w:t>Evidence that the State formally adopted K-12 ELP standards for all ELs in public schools in the State.</w:t>
            </w:r>
          </w:p>
        </w:tc>
      </w:tr>
      <w:tr w:rsidR="00510D87" w:rsidRPr="004E0D61" w14:paraId="7AB3B40D" w14:textId="77777777" w:rsidTr="00414030">
        <w:trPr>
          <w:trHeight w:val="854"/>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009E5C25" w14:textId="77777777" w:rsidR="00510D87" w:rsidRPr="00414030" w:rsidRDefault="00510D87" w:rsidP="000034D3">
            <w:pPr>
              <w:rPr>
                <w:b/>
                <w:bCs/>
                <w:color w:val="000000"/>
              </w:rPr>
            </w:pPr>
            <w:r w:rsidRPr="00414030">
              <w:rPr>
                <w:b/>
                <w:bCs/>
                <w:color w:val="000000"/>
              </w:rPr>
              <w:t>1.2 – Coherent and Progressive ELP Standards that Correspond to the State’s Academic Content Standards</w:t>
            </w: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73EED2B7" w14:textId="77777777" w:rsidR="00510D87" w:rsidRPr="00414030" w:rsidRDefault="00510D87" w:rsidP="000034D3">
            <w:pPr>
              <w:rPr>
                <w:color w:val="000000"/>
              </w:rPr>
            </w:pPr>
            <w:r w:rsidRPr="00414030">
              <w:rPr>
                <w:color w:val="000000"/>
              </w:rPr>
              <w:t>For the State’s assessment system:</w:t>
            </w:r>
          </w:p>
          <w:p w14:paraId="2C169DE2" w14:textId="77777777" w:rsidR="00510D87" w:rsidRPr="00414030" w:rsidRDefault="00510D87" w:rsidP="008D31CB">
            <w:pPr>
              <w:pStyle w:val="ListParagraph"/>
              <w:numPr>
                <w:ilvl w:val="0"/>
                <w:numId w:val="8"/>
              </w:numPr>
              <w:ind w:left="250" w:hanging="250"/>
              <w:rPr>
                <w:color w:val="000000"/>
              </w:rPr>
            </w:pPr>
            <w:r w:rsidRPr="00414030">
              <w:rPr>
                <w:color w:val="000000"/>
              </w:rPr>
              <w:t xml:space="preserve">Evidence that the State’s ELP standards align to the State academic content standards.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 </w:t>
            </w:r>
          </w:p>
        </w:tc>
      </w:tr>
      <w:tr w:rsidR="00510D87" w:rsidRPr="004E0D61" w14:paraId="2E2DFC5C" w14:textId="77777777" w:rsidTr="00414030">
        <w:trPr>
          <w:trHeight w:val="440"/>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5B0F4577" w14:textId="77777777" w:rsidR="00510D87" w:rsidRPr="00414030" w:rsidRDefault="00510D87" w:rsidP="000034D3">
            <w:pPr>
              <w:rPr>
                <w:b/>
                <w:bCs/>
                <w:color w:val="000000"/>
              </w:rPr>
            </w:pPr>
            <w:r w:rsidRPr="00414030">
              <w:rPr>
                <w:b/>
                <w:bCs/>
                <w:color w:val="000000"/>
              </w:rPr>
              <w:t>1.3 – Required ELP Assessments</w:t>
            </w: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45CF252C" w14:textId="77777777" w:rsidR="00510D87" w:rsidRPr="00414030" w:rsidRDefault="00510D87" w:rsidP="000034D3">
            <w:pPr>
              <w:rPr>
                <w:color w:val="000000"/>
              </w:rPr>
            </w:pPr>
            <w:r w:rsidRPr="00414030">
              <w:rPr>
                <w:color w:val="000000"/>
              </w:rPr>
              <w:t>For the State’s assessment system:</w:t>
            </w:r>
          </w:p>
          <w:p w14:paraId="36D1EAEB" w14:textId="77777777" w:rsidR="00510D87" w:rsidRPr="00414030" w:rsidRDefault="00510D87" w:rsidP="008D31CB">
            <w:pPr>
              <w:pStyle w:val="ListParagraph"/>
              <w:numPr>
                <w:ilvl w:val="0"/>
                <w:numId w:val="8"/>
              </w:numPr>
              <w:ind w:left="250" w:hanging="250"/>
              <w:rPr>
                <w:color w:val="000000"/>
              </w:rPr>
            </w:pPr>
            <w:r w:rsidRPr="00414030">
              <w:rPr>
                <w:color w:val="000000"/>
              </w:rPr>
              <w:t>Evidence that the State includes ELs with the most significant cognitive disabilities in statewide ELP assessments, either through the general ELP assessment or an alternate ELP assessment (AELPA). If the State does not have an AELPA, it should provide a timeline for when it plans to implement one.</w:t>
            </w:r>
          </w:p>
        </w:tc>
      </w:tr>
      <w:tr w:rsidR="00510D87" w:rsidRPr="004E0D61" w14:paraId="3C2B7219" w14:textId="77777777" w:rsidTr="00414030">
        <w:trPr>
          <w:trHeight w:val="1295"/>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76FDAF88" w14:textId="77777777" w:rsidR="00510D87" w:rsidRPr="00414030" w:rsidRDefault="00510D87" w:rsidP="000034D3">
            <w:pPr>
              <w:rPr>
                <w:b/>
                <w:bCs/>
                <w:color w:val="000000"/>
              </w:rPr>
            </w:pPr>
            <w:r w:rsidRPr="00414030">
              <w:rPr>
                <w:b/>
                <w:bCs/>
                <w:color w:val="000000"/>
              </w:rPr>
              <w:t>1.5 – Meaningful Consultation in the Development of Challenging State Standards and Assessments</w:t>
            </w: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EF8654A" w14:textId="77777777" w:rsidR="00510D87" w:rsidRPr="00414030" w:rsidRDefault="00510D87" w:rsidP="000034D3">
            <w:pPr>
              <w:rPr>
                <w:color w:val="000000"/>
              </w:rPr>
            </w:pPr>
            <w:r w:rsidRPr="00414030">
              <w:rPr>
                <w:color w:val="000000"/>
              </w:rPr>
              <w:t>For the State’s assessment system:</w:t>
            </w:r>
          </w:p>
          <w:p w14:paraId="0A52A120" w14:textId="77777777" w:rsidR="00510D87" w:rsidRPr="00414030" w:rsidRDefault="00510D87" w:rsidP="008D31CB">
            <w:pPr>
              <w:pStyle w:val="ListParagraph"/>
              <w:numPr>
                <w:ilvl w:val="0"/>
                <w:numId w:val="8"/>
              </w:numPr>
              <w:ind w:left="250" w:hanging="264"/>
              <w:rPr>
                <w:color w:val="000000"/>
              </w:rPr>
            </w:pPr>
            <w:r w:rsidRPr="00414030">
              <w:rPr>
                <w:color w:val="000000"/>
              </w:rPr>
              <w:t>In the development of challenging ELP standards and assessments, evidence that the State has conducted meaningful and timely consultation with:</w:t>
            </w:r>
          </w:p>
          <w:p w14:paraId="1EFC08EA" w14:textId="77777777" w:rsidR="00510D87" w:rsidRPr="00414030" w:rsidRDefault="00510D87" w:rsidP="008D31CB">
            <w:pPr>
              <w:pStyle w:val="ListParagraph"/>
              <w:numPr>
                <w:ilvl w:val="1"/>
                <w:numId w:val="8"/>
              </w:numPr>
              <w:ind w:left="610"/>
              <w:rPr>
                <w:color w:val="000000"/>
              </w:rPr>
            </w:pPr>
            <w:r w:rsidRPr="00414030">
              <w:rPr>
                <w:color w:val="000000"/>
              </w:rPr>
              <w:t>State leaders, including the Governor, members of the State legislature and State board of education (if the State has a State board of education).</w:t>
            </w:r>
          </w:p>
          <w:p w14:paraId="45EECD01" w14:textId="77777777" w:rsidR="00510D87" w:rsidRPr="00414030" w:rsidRDefault="00510D87" w:rsidP="008D31CB">
            <w:pPr>
              <w:pStyle w:val="ListParagraph"/>
              <w:numPr>
                <w:ilvl w:val="1"/>
                <w:numId w:val="8"/>
              </w:numPr>
              <w:ind w:left="610"/>
              <w:rPr>
                <w:color w:val="000000"/>
              </w:rPr>
            </w:pPr>
            <w:r w:rsidRPr="00414030">
              <w:rPr>
                <w:color w:val="000000"/>
              </w:rPr>
              <w:t>Local educational agencies (including those located in rural areas).</w:t>
            </w:r>
          </w:p>
          <w:p w14:paraId="753B6A97" w14:textId="77777777" w:rsidR="00510D87" w:rsidRPr="00414030" w:rsidRDefault="00510D87" w:rsidP="008D31CB">
            <w:pPr>
              <w:pStyle w:val="ListParagraph"/>
              <w:numPr>
                <w:ilvl w:val="1"/>
                <w:numId w:val="8"/>
              </w:numPr>
              <w:ind w:left="610"/>
              <w:rPr>
                <w:color w:val="000000"/>
              </w:rPr>
            </w:pPr>
            <w:r w:rsidRPr="00414030">
              <w:rPr>
                <w:color w:val="000000"/>
              </w:rPr>
              <w:t xml:space="preserve">Representatives of Indian tribes located in the State. </w:t>
            </w:r>
          </w:p>
          <w:p w14:paraId="03750AC9" w14:textId="77777777" w:rsidR="00510D87" w:rsidRPr="00414030" w:rsidRDefault="00510D87" w:rsidP="008D31CB">
            <w:pPr>
              <w:pStyle w:val="ListParagraph"/>
              <w:numPr>
                <w:ilvl w:val="1"/>
                <w:numId w:val="8"/>
              </w:numPr>
              <w:ind w:left="610"/>
              <w:rPr>
                <w:color w:val="000000"/>
              </w:rPr>
            </w:pPr>
            <w:r w:rsidRPr="00414030">
              <w:rPr>
                <w:color w:val="000000"/>
              </w:rPr>
              <w:t>Teachers, principals, other school leaders, charter school leaders (if the State has charter schools), specialized instructional support personnel, paraprofessionals, administrators, other staff, and parents.</w:t>
            </w:r>
          </w:p>
        </w:tc>
      </w:tr>
      <w:tr w:rsidR="00510D87" w:rsidRPr="004E0D61" w14:paraId="453476C4" w14:textId="77777777" w:rsidTr="00414030">
        <w:trPr>
          <w:trHeight w:val="629"/>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69C501F2" w14:textId="77777777" w:rsidR="00510D87" w:rsidRPr="00414030" w:rsidRDefault="00510D87" w:rsidP="000034D3">
            <w:pPr>
              <w:rPr>
                <w:b/>
                <w:bCs/>
                <w:color w:val="000000"/>
              </w:rPr>
            </w:pPr>
            <w:r w:rsidRPr="00414030">
              <w:rPr>
                <w:b/>
                <w:bCs/>
                <w:color w:val="000000"/>
              </w:rPr>
              <w:t>2.1 – Test Design and Development</w:t>
            </w:r>
          </w:p>
          <w:p w14:paraId="45E88B16" w14:textId="77777777" w:rsidR="00510D87" w:rsidRPr="00414030" w:rsidRDefault="00510D87" w:rsidP="000034D3">
            <w:pPr>
              <w:rPr>
                <w:b/>
                <w:bCs/>
                <w:color w:val="000000"/>
              </w:rPr>
            </w:pP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1EF29793" w14:textId="77777777" w:rsidR="00510D87" w:rsidRPr="00414030" w:rsidRDefault="00510D87" w:rsidP="000034D3">
            <w:r w:rsidRPr="00414030">
              <w:t>For the LAS Links:</w:t>
            </w:r>
          </w:p>
          <w:p w14:paraId="5BADB592" w14:textId="77777777" w:rsidR="00510D87" w:rsidRPr="00414030" w:rsidRDefault="00510D87" w:rsidP="008D31CB">
            <w:pPr>
              <w:pStyle w:val="ListParagraph"/>
              <w:numPr>
                <w:ilvl w:val="0"/>
                <w:numId w:val="8"/>
              </w:numPr>
              <w:ind w:left="250" w:hanging="264"/>
            </w:pPr>
            <w:r w:rsidRPr="00414030">
              <w:t xml:space="preserve">Evidence that the test design and test development process is well-suited for the content, aligns the assessments to the depth and breadth of the State’s ELP standards, and includes: </w:t>
            </w:r>
          </w:p>
          <w:p w14:paraId="321B93B5" w14:textId="77777777" w:rsidR="00510D87" w:rsidRPr="00414030" w:rsidRDefault="00510D87" w:rsidP="008D31CB">
            <w:pPr>
              <w:pStyle w:val="ListParagraph"/>
              <w:numPr>
                <w:ilvl w:val="1"/>
                <w:numId w:val="8"/>
              </w:numPr>
              <w:ind w:left="430" w:hanging="270"/>
            </w:pPr>
            <w:r w:rsidRPr="00414030">
              <w:t>Test blueprints that describe the structure of each assessment in sufficient detail to support the development of assessments that are technically sound, measure the depth and breadth of the State’s ELP standards, and support the intended interpretations and uses of the results.</w:t>
            </w:r>
          </w:p>
          <w:p w14:paraId="66FE4F48" w14:textId="77777777" w:rsidR="00510D87" w:rsidRPr="00414030" w:rsidRDefault="00510D87" w:rsidP="008D31CB">
            <w:pPr>
              <w:pStyle w:val="ListParagraph"/>
              <w:numPr>
                <w:ilvl w:val="1"/>
                <w:numId w:val="8"/>
              </w:numPr>
              <w:ind w:left="430" w:hanging="270"/>
            </w:pPr>
            <w:r w:rsidRPr="00414030">
              <w:t>Processes to ensure that the ELP assessment is tailored to the knowledge and skills included in the State’s ELP standards and reflects appropriate inclusion of the range of complexity found in the standards.</w:t>
            </w:r>
          </w:p>
        </w:tc>
      </w:tr>
      <w:tr w:rsidR="00510D87" w:rsidRPr="004E0D61" w14:paraId="56902876" w14:textId="77777777" w:rsidTr="00414030">
        <w:trPr>
          <w:trHeight w:val="1160"/>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08BD0F7A" w14:textId="77777777" w:rsidR="00510D87" w:rsidRPr="00414030" w:rsidRDefault="00510D87" w:rsidP="000034D3">
            <w:pPr>
              <w:rPr>
                <w:b/>
                <w:bCs/>
                <w:color w:val="000000"/>
              </w:rPr>
            </w:pPr>
            <w:r w:rsidRPr="00414030">
              <w:rPr>
                <w:b/>
                <w:bCs/>
                <w:color w:val="000000"/>
              </w:rPr>
              <w:t>2.2 – Item Development</w:t>
            </w: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8649369" w14:textId="77777777" w:rsidR="00510D87" w:rsidRPr="00414030" w:rsidRDefault="00510D87" w:rsidP="000034D3">
            <w:r w:rsidRPr="00414030">
              <w:t>For the LAS Links:</w:t>
            </w:r>
          </w:p>
          <w:p w14:paraId="3577F8CA" w14:textId="77777777" w:rsidR="00510D87" w:rsidRPr="00414030" w:rsidRDefault="00510D87" w:rsidP="008D31CB">
            <w:pPr>
              <w:pStyle w:val="ListParagraph"/>
              <w:numPr>
                <w:ilvl w:val="0"/>
                <w:numId w:val="8"/>
              </w:numPr>
              <w:ind w:left="250" w:hanging="264"/>
            </w:pPr>
            <w:r w:rsidRPr="00414030">
              <w:t>Evidence that</w:t>
            </w:r>
            <w:r w:rsidRPr="004E0D61">
              <w:t xml:space="preserve"> the </w:t>
            </w:r>
            <w:r w:rsidRPr="00414030">
              <w:t>State uses reasonable and technically sound procedures to develop and select items to assess student English language proficiency based on the State’s ELP standards in terms of content and language processes. For example, provide evidence regarding: 1) the selection and training of item writers; 2) qualifications and experience of item writers; 3) an overall item development plan; 4) test item specifications for selected-</w:t>
            </w:r>
            <w:r w:rsidRPr="00414030">
              <w:lastRenderedPageBreak/>
              <w:t>response and constructed-response items; 5) detailed procedures to review and evaluate the quality of items before operational use; and 6) a description of how accessibility was incorporated in the item development process.</w:t>
            </w:r>
          </w:p>
        </w:tc>
      </w:tr>
      <w:tr w:rsidR="00510D87" w:rsidRPr="004E0D61" w14:paraId="55E08C0A" w14:textId="77777777" w:rsidTr="00414030">
        <w:trPr>
          <w:trHeight w:val="782"/>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74D68988" w14:textId="77777777" w:rsidR="00510D87" w:rsidRPr="00414030" w:rsidRDefault="00510D87" w:rsidP="000034D3">
            <w:pPr>
              <w:rPr>
                <w:b/>
                <w:bCs/>
                <w:color w:val="000000"/>
              </w:rPr>
            </w:pPr>
            <w:r w:rsidRPr="00414030">
              <w:rPr>
                <w:b/>
                <w:bCs/>
                <w:color w:val="000000"/>
              </w:rPr>
              <w:lastRenderedPageBreak/>
              <w:t>2.5 – Test Security</w:t>
            </w: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6BCBFDD5" w14:textId="77777777" w:rsidR="00510D87" w:rsidRPr="00414030" w:rsidRDefault="00510D87" w:rsidP="000034D3">
            <w:pPr>
              <w:pStyle w:val="Default"/>
            </w:pPr>
            <w:r w:rsidRPr="00414030">
              <w:t>For the LAS Links:</w:t>
            </w:r>
          </w:p>
          <w:p w14:paraId="0BD5B796" w14:textId="77777777" w:rsidR="00510D87" w:rsidRPr="00414030" w:rsidRDefault="00510D87" w:rsidP="008D31CB">
            <w:pPr>
              <w:pStyle w:val="ListParagraph"/>
              <w:numPr>
                <w:ilvl w:val="0"/>
                <w:numId w:val="8"/>
              </w:numPr>
              <w:ind w:left="250" w:hanging="264"/>
            </w:pPr>
            <w:r w:rsidRPr="00414030">
              <w:t>Evidence that the State has implemented and documented an appropriate set of policies and procedures to prevent test irregularities and ensure the integrity of test results through:</w:t>
            </w:r>
          </w:p>
          <w:p w14:paraId="4E63632D" w14:textId="0BD1F410" w:rsidR="00510D87" w:rsidRPr="00414030" w:rsidRDefault="00510D87" w:rsidP="008D31CB">
            <w:pPr>
              <w:pStyle w:val="ListParagraph"/>
              <w:numPr>
                <w:ilvl w:val="1"/>
                <w:numId w:val="8"/>
              </w:numPr>
              <w:ind w:left="610"/>
            </w:pPr>
            <w:r w:rsidRPr="00414030">
              <w:t>Prevention of any assessment irregularities, including maintaining the security of test materials (e.g., a rationale for the relatively limited number of operational forms of the assessment).</w:t>
            </w:r>
          </w:p>
        </w:tc>
      </w:tr>
      <w:tr w:rsidR="00510D87" w:rsidRPr="004E0D61" w14:paraId="6940CA5F" w14:textId="77777777" w:rsidTr="00414030">
        <w:trPr>
          <w:trHeight w:val="1079"/>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22693B8B" w14:textId="77777777" w:rsidR="00510D87" w:rsidRPr="00414030" w:rsidRDefault="00510D87" w:rsidP="000034D3">
            <w:pPr>
              <w:rPr>
                <w:b/>
                <w:bCs/>
                <w:color w:val="000000"/>
              </w:rPr>
            </w:pPr>
            <w:r w:rsidRPr="00414030">
              <w:rPr>
                <w:b/>
                <w:bCs/>
                <w:color w:val="000000"/>
              </w:rPr>
              <w:t>2.6 – Systems for Protecting Data Integrity and Privacy</w:t>
            </w: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D785F06" w14:textId="77777777" w:rsidR="00510D87" w:rsidRPr="00414030" w:rsidRDefault="00510D87" w:rsidP="000034D3">
            <w:pPr>
              <w:pStyle w:val="Default"/>
            </w:pPr>
            <w:r w:rsidRPr="00414030">
              <w:t>For the LAS Links:</w:t>
            </w:r>
          </w:p>
          <w:p w14:paraId="7DE22F62" w14:textId="77777777" w:rsidR="00510D87" w:rsidRPr="00414030" w:rsidRDefault="00510D87" w:rsidP="008D31CB">
            <w:pPr>
              <w:pStyle w:val="ListParagraph"/>
              <w:numPr>
                <w:ilvl w:val="0"/>
                <w:numId w:val="8"/>
              </w:numPr>
              <w:ind w:left="250" w:hanging="264"/>
            </w:pPr>
            <w:r w:rsidRPr="00414030">
              <w:t>Evidence of policies and procedures are in place to protect the integrity and confidentiality of its test materials, test-related data, and personally identifiable information to secure student-level assessment data and protect student privacy and confidentiality, specifically guidelines for districts and schools.</w:t>
            </w:r>
          </w:p>
        </w:tc>
      </w:tr>
      <w:tr w:rsidR="00510D87" w:rsidRPr="004E0D61" w14:paraId="043BE9D6" w14:textId="77777777" w:rsidTr="00414030">
        <w:trPr>
          <w:trHeight w:val="1079"/>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75A07D71" w14:textId="77777777" w:rsidR="00510D87" w:rsidRPr="00414030" w:rsidRDefault="00510D87" w:rsidP="000034D3">
            <w:pPr>
              <w:rPr>
                <w:b/>
                <w:bCs/>
                <w:color w:val="000000"/>
              </w:rPr>
            </w:pPr>
            <w:r w:rsidRPr="00414030">
              <w:rPr>
                <w:b/>
                <w:bCs/>
                <w:color w:val="000000"/>
              </w:rPr>
              <w:t>3.1 – Overall Validity, including Validity Based on Content</w:t>
            </w: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01879E42" w14:textId="77777777" w:rsidR="00510D87" w:rsidRPr="00414030" w:rsidRDefault="00510D87" w:rsidP="000034D3">
            <w:pPr>
              <w:rPr>
                <w:color w:val="000000"/>
              </w:rPr>
            </w:pPr>
            <w:r w:rsidRPr="00414030">
              <w:rPr>
                <w:color w:val="000000"/>
              </w:rPr>
              <w:t>For the LAS Links:</w:t>
            </w:r>
          </w:p>
          <w:p w14:paraId="4ACEF2E3" w14:textId="77777777" w:rsidR="00510D87" w:rsidRPr="00414030" w:rsidRDefault="00510D87" w:rsidP="008D31CB">
            <w:pPr>
              <w:pStyle w:val="ListParagraph"/>
              <w:numPr>
                <w:ilvl w:val="0"/>
                <w:numId w:val="8"/>
              </w:numPr>
              <w:ind w:left="250" w:hanging="264"/>
              <w:rPr>
                <w:color w:val="000000"/>
              </w:rPr>
            </w:pPr>
            <w:r w:rsidRPr="00414030">
              <w:t>Evidence of adequate alignment between the State’s ELP assessment and the ELP standards the assessment is designed to measure in terms of the depth and breadth of the State’s ELP standards, across all proficiency levels, domains, and modalities identified therein.</w:t>
            </w:r>
          </w:p>
          <w:p w14:paraId="0048CF0E" w14:textId="77777777" w:rsidR="00510D87" w:rsidRPr="00414030" w:rsidRDefault="00510D87" w:rsidP="008D31CB">
            <w:pPr>
              <w:pStyle w:val="ListParagraph"/>
              <w:numPr>
                <w:ilvl w:val="0"/>
                <w:numId w:val="8"/>
              </w:numPr>
              <w:ind w:left="250" w:hanging="264"/>
              <w:rPr>
                <w:color w:val="000000"/>
              </w:rPr>
            </w:pPr>
            <w:r w:rsidRPr="00414030">
              <w:t>Documentation</w:t>
            </w:r>
            <w:r w:rsidRPr="00414030">
              <w:rPr>
                <w:color w:val="000000"/>
              </w:rPr>
              <w:t xml:space="preserve"> of alignment between the State’s ELP standards and the language demands implied by, or explicitly stated in, the State’s academic content standards.</w:t>
            </w:r>
          </w:p>
        </w:tc>
      </w:tr>
      <w:tr w:rsidR="00510D87" w:rsidRPr="004E0D61" w14:paraId="5256F3C3" w14:textId="77777777" w:rsidTr="00414030">
        <w:trPr>
          <w:trHeight w:val="539"/>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09866E7E" w14:textId="77777777" w:rsidR="00510D87" w:rsidRPr="00414030" w:rsidRDefault="00510D87" w:rsidP="000034D3">
            <w:pPr>
              <w:rPr>
                <w:b/>
                <w:bCs/>
                <w:color w:val="000000"/>
              </w:rPr>
            </w:pPr>
            <w:r w:rsidRPr="00414030">
              <w:rPr>
                <w:b/>
                <w:bCs/>
                <w:color w:val="000000"/>
              </w:rPr>
              <w:t>3.2 – Validity Based on Linguistic Processes</w:t>
            </w: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74663BCC" w14:textId="77777777" w:rsidR="00510D87" w:rsidRPr="00414030" w:rsidRDefault="00510D87" w:rsidP="000034D3">
            <w:pPr>
              <w:rPr>
                <w:color w:val="000000"/>
              </w:rPr>
            </w:pPr>
            <w:r w:rsidRPr="00414030">
              <w:rPr>
                <w:color w:val="000000"/>
              </w:rPr>
              <w:t>For the LAS Links:</w:t>
            </w:r>
          </w:p>
          <w:p w14:paraId="1110F36A" w14:textId="77777777" w:rsidR="00510D87" w:rsidRPr="00414030" w:rsidRDefault="00510D87" w:rsidP="008D31CB">
            <w:pPr>
              <w:pStyle w:val="ListParagraph"/>
              <w:numPr>
                <w:ilvl w:val="0"/>
                <w:numId w:val="8"/>
              </w:numPr>
              <w:ind w:left="250" w:hanging="264"/>
              <w:rPr>
                <w:color w:val="000000"/>
              </w:rPr>
            </w:pPr>
            <w:r w:rsidRPr="00414030">
              <w:rPr>
                <w:color w:val="000000"/>
              </w:rPr>
              <w:t xml:space="preserve">Adequate validity evidence that its assessments tap the intended language processes appropriate for each grade level/grade-band as represented in the State’s ELP standards </w:t>
            </w:r>
            <w:r w:rsidRPr="00414030">
              <w:rPr>
                <w:bCs/>
                <w:color w:val="000000"/>
              </w:rPr>
              <w:t>(e.g., cognitive labs, reports of expert judgment, empirical evidence such as teacher ratings of student language proficiency, student performance on English language performance tasks, or external assessments of the same knowledge and skills).</w:t>
            </w:r>
          </w:p>
        </w:tc>
      </w:tr>
      <w:tr w:rsidR="00510D87" w:rsidRPr="004E0D61" w14:paraId="790D77BF" w14:textId="77777777" w:rsidTr="00414030">
        <w:trPr>
          <w:trHeight w:val="1295"/>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6CD259E7" w14:textId="77777777" w:rsidR="00510D87" w:rsidRPr="00414030" w:rsidRDefault="00510D87" w:rsidP="000034D3">
            <w:pPr>
              <w:rPr>
                <w:b/>
                <w:bCs/>
                <w:color w:val="000000"/>
              </w:rPr>
            </w:pPr>
            <w:r w:rsidRPr="00414030">
              <w:rPr>
                <w:b/>
                <w:bCs/>
                <w:color w:val="000000"/>
              </w:rPr>
              <w:t>3.3 – Validity Based on Internal Structure</w:t>
            </w: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CD7AA3D" w14:textId="77777777" w:rsidR="00510D87" w:rsidRPr="00414030" w:rsidRDefault="00510D87" w:rsidP="000034D3">
            <w:pPr>
              <w:rPr>
                <w:color w:val="000000"/>
              </w:rPr>
            </w:pPr>
            <w:r w:rsidRPr="00414030">
              <w:rPr>
                <w:color w:val="000000"/>
              </w:rPr>
              <w:t>For the LAS Links:</w:t>
            </w:r>
          </w:p>
          <w:p w14:paraId="68AABC7A" w14:textId="77777777" w:rsidR="00510D87" w:rsidRPr="00414030" w:rsidRDefault="00510D87" w:rsidP="008D31CB">
            <w:pPr>
              <w:pStyle w:val="ListParagraph"/>
              <w:numPr>
                <w:ilvl w:val="0"/>
                <w:numId w:val="8"/>
              </w:numPr>
              <w:ind w:left="250" w:hanging="264"/>
            </w:pPr>
            <w:r w:rsidRPr="00414030">
              <w:t>Adequate validity evidence that the scoring and reporting structures of its assessments are consistent with the sub-domain structures of the State’s ELP standards on which the intended interpretations and uses of results are based (e.g., analyses exploring the dimensionality of the LAS Links assessment, especially as it relates to the State’s ELP standards; interpretation of the differential item functioning (DIF) study results in order to strengthen the claim concerning the validity of the internal structure).</w:t>
            </w:r>
          </w:p>
        </w:tc>
      </w:tr>
      <w:tr w:rsidR="00510D87" w:rsidRPr="004E0D61" w14:paraId="302D76D0" w14:textId="77777777" w:rsidTr="00414030">
        <w:trPr>
          <w:trHeight w:val="440"/>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431FB08A" w14:textId="77777777" w:rsidR="00510D87" w:rsidRPr="00414030" w:rsidRDefault="00510D87" w:rsidP="000034D3">
            <w:pPr>
              <w:rPr>
                <w:b/>
                <w:bCs/>
                <w:color w:val="000000"/>
              </w:rPr>
            </w:pPr>
            <w:r w:rsidRPr="00414030">
              <w:rPr>
                <w:b/>
                <w:bCs/>
                <w:color w:val="000000"/>
              </w:rPr>
              <w:t>4.1 – Reliability</w:t>
            </w: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598EB961" w14:textId="77777777" w:rsidR="00510D87" w:rsidRPr="00414030" w:rsidRDefault="00510D87" w:rsidP="000034D3">
            <w:pPr>
              <w:rPr>
                <w:color w:val="000000"/>
              </w:rPr>
            </w:pPr>
            <w:r w:rsidRPr="00414030">
              <w:rPr>
                <w:color w:val="000000"/>
              </w:rPr>
              <w:t>For the LAS Links:</w:t>
            </w:r>
          </w:p>
          <w:p w14:paraId="536A9335" w14:textId="77777777" w:rsidR="00510D87" w:rsidRPr="00414030" w:rsidRDefault="00510D87" w:rsidP="008D31CB">
            <w:pPr>
              <w:pStyle w:val="ListParagraph"/>
              <w:numPr>
                <w:ilvl w:val="0"/>
                <w:numId w:val="8"/>
              </w:numPr>
              <w:ind w:left="250" w:hanging="264"/>
            </w:pPr>
            <w:r w:rsidRPr="00414030">
              <w:t>Reliability evidence for its assessments for the following measures of reliability for the State’s student population overall and each student group consistent with nationally recognized professional and technical testing standards, specifically:</w:t>
            </w:r>
          </w:p>
          <w:p w14:paraId="3A9E3158" w14:textId="77777777" w:rsidR="00510D87" w:rsidRPr="00414030" w:rsidRDefault="00510D87" w:rsidP="008D31CB">
            <w:pPr>
              <w:pStyle w:val="ListParagraph"/>
              <w:numPr>
                <w:ilvl w:val="1"/>
                <w:numId w:val="8"/>
              </w:numPr>
              <w:ind w:left="611" w:hanging="351"/>
            </w:pPr>
            <w:r w:rsidRPr="00414030">
              <w:lastRenderedPageBreak/>
              <w:t>Test reliability of the State’s assessments estimated for its student population (e.g., any domain or component sub-tests, as applicable, including a plan to improve the precision of the listening domain test).</w:t>
            </w:r>
          </w:p>
          <w:p w14:paraId="61D7D5AF" w14:textId="77777777" w:rsidR="00510D87" w:rsidRPr="00414030" w:rsidRDefault="00510D87" w:rsidP="008D31CB">
            <w:pPr>
              <w:pStyle w:val="ListParagraph"/>
              <w:numPr>
                <w:ilvl w:val="1"/>
                <w:numId w:val="8"/>
              </w:numPr>
              <w:ind w:left="611" w:hanging="351"/>
            </w:pPr>
            <w:r w:rsidRPr="00414030">
              <w:t>Consistency and accuracy of estimates in categorical classification decisions for the cut scores, achievement levels or proficiency levels based on the assessment results for each domain.</w:t>
            </w:r>
          </w:p>
        </w:tc>
      </w:tr>
      <w:tr w:rsidR="00510D87" w:rsidRPr="004E0D61" w14:paraId="658D0DB7" w14:textId="77777777" w:rsidTr="00414030">
        <w:trPr>
          <w:trHeight w:val="1295"/>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5B33D40A" w14:textId="77777777" w:rsidR="00510D87" w:rsidRPr="00414030" w:rsidRDefault="00510D87" w:rsidP="000034D3">
            <w:pPr>
              <w:rPr>
                <w:b/>
                <w:bCs/>
                <w:color w:val="000000"/>
              </w:rPr>
            </w:pPr>
            <w:r w:rsidRPr="00414030">
              <w:rPr>
                <w:b/>
                <w:bCs/>
                <w:color w:val="000000"/>
              </w:rPr>
              <w:lastRenderedPageBreak/>
              <w:t>4.2 – Fairness and accessibility</w:t>
            </w: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1EEB5829" w14:textId="77777777" w:rsidR="00510D87" w:rsidRPr="00414030" w:rsidRDefault="00510D87" w:rsidP="000034D3">
            <w:pPr>
              <w:rPr>
                <w:color w:val="000000"/>
              </w:rPr>
            </w:pPr>
            <w:r w:rsidRPr="00414030">
              <w:rPr>
                <w:color w:val="000000"/>
              </w:rPr>
              <w:t>For the LAS Links:</w:t>
            </w:r>
          </w:p>
          <w:p w14:paraId="45A1EB0B" w14:textId="77777777" w:rsidR="00510D87" w:rsidRPr="00414030" w:rsidRDefault="00510D87" w:rsidP="008D31CB">
            <w:pPr>
              <w:pStyle w:val="ListParagraph"/>
              <w:numPr>
                <w:ilvl w:val="0"/>
                <w:numId w:val="8"/>
              </w:numPr>
              <w:ind w:left="250" w:hanging="264"/>
            </w:pPr>
            <w:r w:rsidRPr="00414030">
              <w:t>Evidence the State has taken reasonable and appropriate steps to ensure that its assessments are accessible to all EL students and fair across student groups, including ELs with disabilities, in their design, development, and analysis. Examples include:</w:t>
            </w:r>
          </w:p>
          <w:p w14:paraId="6FC2F024" w14:textId="77777777" w:rsidR="00510D87" w:rsidRPr="00414030" w:rsidRDefault="00510D87" w:rsidP="008D31CB">
            <w:pPr>
              <w:pStyle w:val="ListParagraph"/>
              <w:numPr>
                <w:ilvl w:val="1"/>
                <w:numId w:val="8"/>
              </w:numPr>
              <w:ind w:left="611" w:hanging="351"/>
            </w:pPr>
            <w:r w:rsidRPr="00414030">
              <w:t>Interpretations of how the results of DIF analyses support fairness and accessibility.</w:t>
            </w:r>
          </w:p>
          <w:p w14:paraId="24838B8B" w14:textId="77777777" w:rsidR="00510D87" w:rsidRPr="00414030" w:rsidRDefault="00510D87" w:rsidP="008D31CB">
            <w:pPr>
              <w:pStyle w:val="ListParagraph"/>
              <w:numPr>
                <w:ilvl w:val="1"/>
                <w:numId w:val="8"/>
              </w:numPr>
              <w:ind w:left="611" w:hanging="351"/>
            </w:pPr>
            <w:r w:rsidRPr="00414030">
              <w:t xml:space="preserve">Evidence of item development fairness, specifically the qualifications of the reviewers. </w:t>
            </w:r>
          </w:p>
        </w:tc>
      </w:tr>
      <w:tr w:rsidR="00510D87" w:rsidRPr="004E0D61" w14:paraId="7B4C3947" w14:textId="77777777" w:rsidTr="00414030">
        <w:trPr>
          <w:trHeight w:val="998"/>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6F54047D" w14:textId="77777777" w:rsidR="00510D87" w:rsidRPr="00414030" w:rsidRDefault="00510D87" w:rsidP="000034D3">
            <w:pPr>
              <w:rPr>
                <w:b/>
                <w:bCs/>
                <w:color w:val="000000"/>
              </w:rPr>
            </w:pPr>
            <w:r w:rsidRPr="00414030">
              <w:rPr>
                <w:b/>
                <w:bCs/>
                <w:color w:val="000000"/>
              </w:rPr>
              <w:t>4.3 – Full Performance Continuum</w:t>
            </w: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137018CA" w14:textId="77777777" w:rsidR="00510D87" w:rsidRPr="00414030" w:rsidRDefault="00510D87" w:rsidP="000034D3">
            <w:pPr>
              <w:rPr>
                <w:color w:val="000000"/>
              </w:rPr>
            </w:pPr>
            <w:r w:rsidRPr="00414030">
              <w:rPr>
                <w:color w:val="000000"/>
              </w:rPr>
              <w:t>For the LAS Links:</w:t>
            </w:r>
          </w:p>
          <w:p w14:paraId="4E73C610" w14:textId="77777777" w:rsidR="00510D87" w:rsidRPr="00414030" w:rsidRDefault="00510D87" w:rsidP="008D31CB">
            <w:pPr>
              <w:pStyle w:val="ListParagraph"/>
              <w:numPr>
                <w:ilvl w:val="0"/>
                <w:numId w:val="8"/>
              </w:numPr>
              <w:ind w:left="250" w:hanging="264"/>
              <w:rPr>
                <w:color w:val="000000"/>
              </w:rPr>
            </w:pPr>
            <w:r w:rsidRPr="00414030">
              <w:t xml:space="preserve">Evidence that the </w:t>
            </w:r>
            <w:r w:rsidRPr="00414030">
              <w:rPr>
                <w:color w:val="000000"/>
              </w:rPr>
              <w:t>assessment provides an adequately precise estimate of student performance:</w:t>
            </w:r>
          </w:p>
          <w:p w14:paraId="4A8234FF" w14:textId="77777777" w:rsidR="00510D87" w:rsidRPr="00414030" w:rsidRDefault="00510D87" w:rsidP="008D31CB">
            <w:pPr>
              <w:pStyle w:val="ListParagraph"/>
              <w:numPr>
                <w:ilvl w:val="1"/>
                <w:numId w:val="8"/>
              </w:numPr>
              <w:ind w:left="611"/>
              <w:rPr>
                <w:color w:val="000000"/>
              </w:rPr>
            </w:pPr>
            <w:r w:rsidRPr="00414030">
              <w:rPr>
                <w:color w:val="000000"/>
              </w:rPr>
              <w:t>Across the full performance continuum, including performance for EL students with high and low levels of English language proficiency (e.g., a plan to improve the precision of the listening domain test, as noted in critical element 4.1).</w:t>
            </w:r>
          </w:p>
          <w:p w14:paraId="0037E4AC" w14:textId="77777777" w:rsidR="00510D87" w:rsidRPr="00414030" w:rsidRDefault="00510D87" w:rsidP="008D31CB">
            <w:pPr>
              <w:pStyle w:val="ListParagraph"/>
              <w:numPr>
                <w:ilvl w:val="1"/>
                <w:numId w:val="8"/>
              </w:numPr>
              <w:ind w:left="611"/>
              <w:rPr>
                <w:color w:val="000000"/>
              </w:rPr>
            </w:pPr>
            <w:r w:rsidRPr="00414030">
              <w:rPr>
                <w:color w:val="000000"/>
              </w:rPr>
              <w:t>With different proficiency profiles across the domains of speaking, listening, reading, and writing.</w:t>
            </w:r>
          </w:p>
        </w:tc>
      </w:tr>
      <w:tr w:rsidR="00510D87" w:rsidRPr="004E0D61" w14:paraId="440D3BD8" w14:textId="77777777" w:rsidTr="00414030">
        <w:trPr>
          <w:trHeight w:val="1295"/>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363E4BBC" w14:textId="77777777" w:rsidR="00510D87" w:rsidRPr="00414030" w:rsidRDefault="00510D87" w:rsidP="000034D3">
            <w:pPr>
              <w:rPr>
                <w:b/>
                <w:bCs/>
                <w:color w:val="000000"/>
              </w:rPr>
            </w:pPr>
            <w:r w:rsidRPr="00414030">
              <w:rPr>
                <w:b/>
                <w:bCs/>
                <w:color w:val="000000"/>
              </w:rPr>
              <w:t>4.4 – Scoring</w:t>
            </w: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6A70CE80" w14:textId="77777777" w:rsidR="00510D87" w:rsidRPr="00414030" w:rsidRDefault="00510D87" w:rsidP="000034D3">
            <w:pPr>
              <w:rPr>
                <w:color w:val="000000"/>
              </w:rPr>
            </w:pPr>
            <w:r w:rsidRPr="00414030">
              <w:rPr>
                <w:color w:val="000000"/>
              </w:rPr>
              <w:t>For the LAS Links:</w:t>
            </w:r>
          </w:p>
          <w:p w14:paraId="04AEE17D" w14:textId="77777777" w:rsidR="00510D87" w:rsidRPr="00414030" w:rsidRDefault="00510D87" w:rsidP="008D31CB">
            <w:pPr>
              <w:pStyle w:val="ListParagraph"/>
              <w:numPr>
                <w:ilvl w:val="0"/>
                <w:numId w:val="8"/>
              </w:numPr>
              <w:ind w:left="250" w:hanging="264"/>
            </w:pPr>
            <w:r w:rsidRPr="00414030">
              <w:t xml:space="preserve">Evidence of standardized scoring procedures and protocols that are designed to produce reliable and meaningful results (e.g., evidence of quality assurance in the scoring of performance tasks by test vendors, procedures for local scoring of the assessments, if any).   </w:t>
            </w:r>
          </w:p>
        </w:tc>
      </w:tr>
      <w:tr w:rsidR="00510D87" w:rsidRPr="004E0D61" w14:paraId="0C3E2336" w14:textId="77777777" w:rsidTr="00414030">
        <w:trPr>
          <w:trHeight w:val="1295"/>
        </w:trPr>
        <w:tc>
          <w:tcPr>
            <w:tcW w:w="2448"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4ABDB997" w14:textId="77777777" w:rsidR="00510D87" w:rsidRPr="00414030" w:rsidRDefault="00510D87" w:rsidP="000034D3">
            <w:pPr>
              <w:rPr>
                <w:b/>
                <w:bCs/>
                <w:color w:val="000000"/>
              </w:rPr>
            </w:pPr>
            <w:r w:rsidRPr="00414030">
              <w:rPr>
                <w:b/>
                <w:bCs/>
                <w:color w:val="000000"/>
              </w:rPr>
              <w:t>4.5 – Multiple Assessment Forms</w:t>
            </w:r>
          </w:p>
        </w:tc>
        <w:tc>
          <w:tcPr>
            <w:tcW w:w="790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3570A9B2" w14:textId="77777777" w:rsidR="00510D87" w:rsidRPr="00414030" w:rsidRDefault="00510D87" w:rsidP="000034D3">
            <w:pPr>
              <w:rPr>
                <w:color w:val="000000"/>
              </w:rPr>
            </w:pPr>
            <w:r w:rsidRPr="00414030">
              <w:rPr>
                <w:color w:val="000000"/>
              </w:rPr>
              <w:t>For the LAS Links:</w:t>
            </w:r>
          </w:p>
          <w:p w14:paraId="3E2AD51A" w14:textId="77777777" w:rsidR="00510D87" w:rsidRPr="00414030" w:rsidRDefault="00510D87" w:rsidP="008D31CB">
            <w:pPr>
              <w:pStyle w:val="ListParagraph"/>
              <w:numPr>
                <w:ilvl w:val="0"/>
                <w:numId w:val="8"/>
              </w:numPr>
              <w:ind w:left="250" w:hanging="264"/>
            </w:pPr>
            <w:r w:rsidRPr="00414030">
              <w:t>Evidence that the State ensures that all forms adequately represent the State’s ELP standards and yield consistent score interpretations such that the forms are comparable within and across settings (e.g., results from the equating of the various forms of the assessment).</w:t>
            </w:r>
          </w:p>
        </w:tc>
      </w:tr>
      <w:tr w:rsidR="00510D87" w:rsidRPr="004E0D61" w14:paraId="0A35C567" w14:textId="77777777" w:rsidTr="00414030">
        <w:trPr>
          <w:trHeight w:val="1295"/>
        </w:trPr>
        <w:tc>
          <w:tcPr>
            <w:tcW w:w="2448"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46D97D26" w14:textId="77777777" w:rsidR="00510D87" w:rsidRPr="00414030" w:rsidRDefault="00510D87" w:rsidP="000034D3">
            <w:pPr>
              <w:rPr>
                <w:b/>
                <w:bCs/>
                <w:color w:val="000000"/>
              </w:rPr>
            </w:pPr>
            <w:r w:rsidRPr="00414030">
              <w:rPr>
                <w:b/>
                <w:bCs/>
                <w:color w:val="000000"/>
              </w:rPr>
              <w:t>4.6 – Multiple Versions of an Assessment</w:t>
            </w:r>
          </w:p>
        </w:tc>
        <w:tc>
          <w:tcPr>
            <w:tcW w:w="790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25681CF0" w14:textId="77777777" w:rsidR="00510D87" w:rsidRPr="00414030" w:rsidRDefault="00510D87" w:rsidP="000034D3">
            <w:pPr>
              <w:rPr>
                <w:color w:val="000000"/>
              </w:rPr>
            </w:pPr>
            <w:r w:rsidRPr="00414030">
              <w:rPr>
                <w:color w:val="000000"/>
              </w:rPr>
              <w:t>For the LAS Links:</w:t>
            </w:r>
          </w:p>
          <w:p w14:paraId="54C7A5F0" w14:textId="108CBA4B" w:rsidR="00510D87" w:rsidRPr="00414030" w:rsidRDefault="00510D87" w:rsidP="008D31CB">
            <w:pPr>
              <w:pStyle w:val="ListParagraph"/>
              <w:numPr>
                <w:ilvl w:val="0"/>
                <w:numId w:val="8"/>
              </w:numPr>
              <w:ind w:left="250" w:hanging="264"/>
            </w:pPr>
            <w:r w:rsidRPr="00414030">
              <w:t>Evidence that the State followed a design and development process to support comparable interpretations of results for students tested across the versions of the assessments (paper, computer-based, and Braille).</w:t>
            </w:r>
          </w:p>
        </w:tc>
      </w:tr>
      <w:tr w:rsidR="00510D87" w:rsidRPr="004E0D61" w14:paraId="2D597C47" w14:textId="77777777" w:rsidTr="00414030">
        <w:trPr>
          <w:trHeight w:val="831"/>
        </w:trPr>
        <w:tc>
          <w:tcPr>
            <w:tcW w:w="2448"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4BE2B265" w14:textId="77777777" w:rsidR="00510D87" w:rsidRPr="00414030" w:rsidRDefault="00510D87" w:rsidP="000034D3">
            <w:pPr>
              <w:rPr>
                <w:b/>
                <w:bCs/>
                <w:color w:val="000000"/>
              </w:rPr>
            </w:pPr>
            <w:r w:rsidRPr="00414030">
              <w:rPr>
                <w:b/>
                <w:bCs/>
                <w:color w:val="000000"/>
              </w:rPr>
              <w:t>4.7 – Technical Analysis and Ongoing Maintenance</w:t>
            </w:r>
          </w:p>
        </w:tc>
        <w:tc>
          <w:tcPr>
            <w:tcW w:w="790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5CFE96DC" w14:textId="77777777" w:rsidR="00510D87" w:rsidRPr="00414030" w:rsidRDefault="00510D87" w:rsidP="000034D3">
            <w:r w:rsidRPr="00414030">
              <w:t>For the LAS Links:</w:t>
            </w:r>
          </w:p>
          <w:p w14:paraId="2DEE6305" w14:textId="77777777" w:rsidR="00510D87" w:rsidRPr="00414030" w:rsidRDefault="00510D87" w:rsidP="008D31CB">
            <w:pPr>
              <w:pStyle w:val="ListParagraph"/>
              <w:numPr>
                <w:ilvl w:val="0"/>
                <w:numId w:val="8"/>
              </w:numPr>
              <w:ind w:left="250" w:hanging="264"/>
            </w:pPr>
            <w:r w:rsidRPr="00414030">
              <w:t>Evidence that assessment technical quality information is made public, including on the State’s website.</w:t>
            </w:r>
          </w:p>
        </w:tc>
      </w:tr>
      <w:tr w:rsidR="00510D87" w:rsidRPr="004E0D61" w14:paraId="668CD01D" w14:textId="77777777" w:rsidTr="00414030">
        <w:trPr>
          <w:trHeight w:val="615"/>
        </w:trPr>
        <w:tc>
          <w:tcPr>
            <w:tcW w:w="2448"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046C7566" w14:textId="77777777" w:rsidR="00510D87" w:rsidRPr="00414030" w:rsidRDefault="00510D87" w:rsidP="000034D3">
            <w:pPr>
              <w:rPr>
                <w:b/>
                <w:bCs/>
                <w:color w:val="000000"/>
              </w:rPr>
            </w:pPr>
            <w:r w:rsidRPr="00414030">
              <w:rPr>
                <w:b/>
                <w:bCs/>
                <w:color w:val="000000"/>
              </w:rPr>
              <w:t>5.3 – Accommodations</w:t>
            </w:r>
          </w:p>
        </w:tc>
        <w:tc>
          <w:tcPr>
            <w:tcW w:w="790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52310ED0" w14:textId="77777777" w:rsidR="00510D87" w:rsidRPr="00414030" w:rsidRDefault="00510D87" w:rsidP="000034D3">
            <w:pPr>
              <w:rPr>
                <w:color w:val="000000"/>
              </w:rPr>
            </w:pPr>
            <w:r w:rsidRPr="00414030">
              <w:rPr>
                <w:color w:val="000000"/>
              </w:rPr>
              <w:t>For the LAS Links:</w:t>
            </w:r>
          </w:p>
          <w:p w14:paraId="3F122E6F" w14:textId="77777777" w:rsidR="00510D87" w:rsidRPr="00414030" w:rsidRDefault="00510D87" w:rsidP="008D31CB">
            <w:pPr>
              <w:pStyle w:val="ListParagraph"/>
              <w:numPr>
                <w:ilvl w:val="0"/>
                <w:numId w:val="8"/>
              </w:numPr>
              <w:ind w:left="250" w:hanging="264"/>
              <w:rPr>
                <w:bCs/>
              </w:rPr>
            </w:pPr>
            <w:r w:rsidRPr="00414030">
              <w:t xml:space="preserve">Evidence that it makes available appropriate accommodations and ensures that its ELP </w:t>
            </w:r>
            <w:r w:rsidRPr="00414030">
              <w:rPr>
                <w:bCs/>
              </w:rPr>
              <w:t>assessments</w:t>
            </w:r>
            <w:r w:rsidRPr="00414030">
              <w:t xml:space="preserve"> are accessible to ELs with disabilities, specifically ELs with significant cognitive disabilities.</w:t>
            </w:r>
          </w:p>
          <w:p w14:paraId="378C2F3E" w14:textId="77777777" w:rsidR="00510D87" w:rsidRPr="00414030" w:rsidRDefault="00510D87" w:rsidP="008D31CB">
            <w:pPr>
              <w:pStyle w:val="ListParagraph"/>
              <w:numPr>
                <w:ilvl w:val="0"/>
                <w:numId w:val="8"/>
              </w:numPr>
              <w:ind w:left="250" w:hanging="264"/>
              <w:rPr>
                <w:bCs/>
              </w:rPr>
            </w:pPr>
            <w:r w:rsidRPr="00414030">
              <w:rPr>
                <w:bCs/>
              </w:rPr>
              <w:lastRenderedPageBreak/>
              <w:t>Evidence that it ensures that appropriate accommodations are available for ELs (e.g., a rationale for non-allowable accommodations on the ELP tests).</w:t>
            </w:r>
          </w:p>
          <w:p w14:paraId="17FD2BFA" w14:textId="77777777" w:rsidR="00510D87" w:rsidRPr="00414030" w:rsidRDefault="00510D87" w:rsidP="008D31CB">
            <w:pPr>
              <w:pStyle w:val="ListParagraph"/>
              <w:numPr>
                <w:ilvl w:val="0"/>
                <w:numId w:val="8"/>
              </w:numPr>
              <w:ind w:left="250" w:hanging="264"/>
              <w:rPr>
                <w:bCs/>
              </w:rPr>
            </w:pPr>
            <w:r w:rsidRPr="00414030">
              <w:t xml:space="preserve">Evidence </w:t>
            </w:r>
            <w:r w:rsidRPr="00414030">
              <w:rPr>
                <w:color w:val="000000"/>
              </w:rPr>
              <w:t>that the S</w:t>
            </w:r>
            <w:r w:rsidRPr="00414030">
              <w:rPr>
                <w:bCs/>
              </w:rPr>
              <w:t xml:space="preserve">tate has determined that the </w:t>
            </w:r>
            <w:r w:rsidRPr="00414030">
              <w:t>accommodations</w:t>
            </w:r>
            <w:r w:rsidRPr="00414030">
              <w:rPr>
                <w:bCs/>
              </w:rPr>
              <w:t xml:space="preserve"> it provides: (i) are appropriate and effective for meeting the individual student’s need(s) to participate in the assessments, (ii) do not alter the construct being assessed, and (iii) allow meaningful interpretations of results and comparison of scores for students who need and receive accommodations and students who do not need and do not receive accommodations.</w:t>
            </w:r>
          </w:p>
        </w:tc>
      </w:tr>
      <w:tr w:rsidR="00510D87" w:rsidRPr="004E0D61" w14:paraId="334047B8" w14:textId="77777777" w:rsidTr="00414030">
        <w:trPr>
          <w:trHeight w:val="1295"/>
        </w:trPr>
        <w:tc>
          <w:tcPr>
            <w:tcW w:w="2448"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12BA706D" w14:textId="77777777" w:rsidR="00510D87" w:rsidRPr="00414030" w:rsidRDefault="00510D87" w:rsidP="000034D3">
            <w:pPr>
              <w:rPr>
                <w:b/>
                <w:bCs/>
                <w:color w:val="000000"/>
              </w:rPr>
            </w:pPr>
            <w:r w:rsidRPr="00414030">
              <w:rPr>
                <w:b/>
                <w:bCs/>
                <w:color w:val="000000"/>
              </w:rPr>
              <w:lastRenderedPageBreak/>
              <w:t>6.1 – State Adoption of ELP Achievement Standards for All Students</w:t>
            </w:r>
          </w:p>
        </w:tc>
        <w:tc>
          <w:tcPr>
            <w:tcW w:w="790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300BFCA8" w14:textId="77777777" w:rsidR="00510D87" w:rsidRPr="00414030" w:rsidRDefault="00510D87" w:rsidP="000034D3">
            <w:pPr>
              <w:ind w:left="40"/>
            </w:pPr>
            <w:r w:rsidRPr="00414030">
              <w:t>For the LAS Links:</w:t>
            </w:r>
          </w:p>
          <w:p w14:paraId="56E89245" w14:textId="77777777" w:rsidR="00510D87" w:rsidRPr="00414030" w:rsidRDefault="00510D87" w:rsidP="008D31CB">
            <w:pPr>
              <w:pStyle w:val="ListParagraph"/>
              <w:numPr>
                <w:ilvl w:val="0"/>
                <w:numId w:val="9"/>
              </w:numPr>
              <w:ind w:left="360"/>
            </w:pPr>
            <w:r w:rsidRPr="00414030">
              <w:t>Evidence that the State adopted ELP achievement standards that address the different proficiency levels of ELs.</w:t>
            </w:r>
          </w:p>
        </w:tc>
      </w:tr>
      <w:tr w:rsidR="00510D87" w:rsidRPr="004E0D61" w14:paraId="293E6D41" w14:textId="77777777" w:rsidTr="00414030">
        <w:trPr>
          <w:trHeight w:val="660"/>
        </w:trPr>
        <w:tc>
          <w:tcPr>
            <w:tcW w:w="2448"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440C31D7" w14:textId="77777777" w:rsidR="00510D87" w:rsidRPr="00414030" w:rsidRDefault="00510D87" w:rsidP="000034D3">
            <w:pPr>
              <w:rPr>
                <w:b/>
                <w:bCs/>
                <w:color w:val="000000"/>
              </w:rPr>
            </w:pPr>
            <w:r w:rsidRPr="00414030">
              <w:rPr>
                <w:b/>
                <w:bCs/>
                <w:color w:val="000000"/>
              </w:rPr>
              <w:t>6.2 – Achievement Standards-Setting</w:t>
            </w:r>
          </w:p>
        </w:tc>
        <w:tc>
          <w:tcPr>
            <w:tcW w:w="790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49138EC9" w14:textId="77777777" w:rsidR="00510D87" w:rsidRPr="00414030" w:rsidRDefault="00510D87" w:rsidP="000034D3">
            <w:pPr>
              <w:ind w:left="40"/>
            </w:pPr>
            <w:r w:rsidRPr="00414030">
              <w:t>For the LAS Links:</w:t>
            </w:r>
          </w:p>
          <w:p w14:paraId="0E59A351" w14:textId="77777777" w:rsidR="00510D87" w:rsidRPr="00414030" w:rsidRDefault="00510D87" w:rsidP="008D31CB">
            <w:pPr>
              <w:pStyle w:val="ListParagraph"/>
              <w:numPr>
                <w:ilvl w:val="0"/>
                <w:numId w:val="9"/>
              </w:numPr>
              <w:ind w:left="360"/>
              <w:rPr>
                <w:color w:val="000000"/>
              </w:rPr>
            </w:pPr>
            <w:r w:rsidRPr="00414030">
              <w:rPr>
                <w:color w:val="000000"/>
              </w:rPr>
              <w:t xml:space="preserve">Evidence that the State used a technically </w:t>
            </w:r>
            <w:r w:rsidRPr="00414030">
              <w:t>sound</w:t>
            </w:r>
            <w:r w:rsidRPr="00414030">
              <w:rPr>
                <w:color w:val="000000"/>
              </w:rPr>
              <w:t xml:space="preserve"> method and process that:</w:t>
            </w:r>
          </w:p>
          <w:p w14:paraId="1FDB1C4A" w14:textId="77777777" w:rsidR="00510D87" w:rsidRPr="00414030" w:rsidRDefault="00510D87" w:rsidP="008D31CB">
            <w:pPr>
              <w:pStyle w:val="ListParagraph"/>
              <w:numPr>
                <w:ilvl w:val="1"/>
                <w:numId w:val="8"/>
              </w:numPr>
              <w:ind w:left="611" w:hanging="270"/>
              <w:rPr>
                <w:color w:val="000000"/>
              </w:rPr>
            </w:pPr>
            <w:r w:rsidRPr="00414030">
              <w:t>Involved</w:t>
            </w:r>
            <w:r w:rsidRPr="00414030">
              <w:rPr>
                <w:color w:val="000000"/>
              </w:rPr>
              <w:t xml:space="preserve"> panelists with appropriate experience and expertise for setting ELP achievement standards.</w:t>
            </w:r>
          </w:p>
          <w:p w14:paraId="33D90FC3" w14:textId="77777777" w:rsidR="00510D87" w:rsidRPr="00414030" w:rsidRDefault="00510D87" w:rsidP="008D31CB">
            <w:pPr>
              <w:pStyle w:val="ListParagraph"/>
              <w:numPr>
                <w:ilvl w:val="1"/>
                <w:numId w:val="8"/>
              </w:numPr>
              <w:ind w:left="611" w:hanging="270"/>
              <w:rPr>
                <w:color w:val="000000"/>
              </w:rPr>
            </w:pPr>
            <w:r w:rsidRPr="00414030">
              <w:rPr>
                <w:color w:val="000000"/>
              </w:rPr>
              <w:t>Were appropriate for every cut-score adopted at every grade/grade-band.</w:t>
            </w:r>
          </w:p>
        </w:tc>
      </w:tr>
      <w:tr w:rsidR="00510D87" w:rsidRPr="004E0D61" w14:paraId="4E744B97" w14:textId="77777777" w:rsidTr="00414030">
        <w:trPr>
          <w:trHeight w:val="1295"/>
        </w:trPr>
        <w:tc>
          <w:tcPr>
            <w:tcW w:w="2448"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5AF2200B" w14:textId="77777777" w:rsidR="00510D87" w:rsidRPr="00414030" w:rsidRDefault="00510D87" w:rsidP="000034D3">
            <w:pPr>
              <w:rPr>
                <w:b/>
                <w:bCs/>
                <w:color w:val="000000"/>
              </w:rPr>
            </w:pPr>
            <w:r w:rsidRPr="00414030">
              <w:rPr>
                <w:b/>
                <w:bCs/>
                <w:color w:val="000000"/>
              </w:rPr>
              <w:t>6.3 – Challenging and Aligned ELP Achievement Standards</w:t>
            </w:r>
          </w:p>
        </w:tc>
        <w:tc>
          <w:tcPr>
            <w:tcW w:w="790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2011A5E6" w14:textId="77777777" w:rsidR="00510D87" w:rsidRPr="00414030" w:rsidRDefault="00510D87" w:rsidP="000034D3">
            <w:pPr>
              <w:ind w:left="40"/>
            </w:pPr>
            <w:r w:rsidRPr="00414030">
              <w:t>For the LAS Links:</w:t>
            </w:r>
          </w:p>
          <w:p w14:paraId="60163175" w14:textId="77777777" w:rsidR="00510D87" w:rsidRPr="00414030" w:rsidRDefault="00510D87" w:rsidP="008D31CB">
            <w:pPr>
              <w:pStyle w:val="ListParagraph"/>
              <w:numPr>
                <w:ilvl w:val="0"/>
                <w:numId w:val="9"/>
              </w:numPr>
              <w:ind w:left="360"/>
            </w:pPr>
            <w:r w:rsidRPr="00414030">
              <w:t xml:space="preserve">Evidence that the State </w:t>
            </w:r>
            <w:r w:rsidRPr="00414030">
              <w:rPr>
                <w:color w:val="000000"/>
              </w:rPr>
              <w:t>has</w:t>
            </w:r>
            <w:r w:rsidRPr="00414030">
              <w:t xml:space="preserve"> ensured that ELP assessment results are expressed in terms that are clearly aligned with the State’s ELP standards, and its ELP performance-level descriptors.</w:t>
            </w:r>
          </w:p>
        </w:tc>
      </w:tr>
      <w:tr w:rsidR="00510D87" w:rsidRPr="004E0D61" w14:paraId="7618F133" w14:textId="77777777" w:rsidTr="00414030">
        <w:trPr>
          <w:trHeight w:val="435"/>
        </w:trPr>
        <w:tc>
          <w:tcPr>
            <w:tcW w:w="2448"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5E84C3E2" w14:textId="77777777" w:rsidR="00510D87" w:rsidRPr="00414030" w:rsidRDefault="00510D87" w:rsidP="000034D3">
            <w:pPr>
              <w:rPr>
                <w:b/>
                <w:bCs/>
                <w:color w:val="000000"/>
              </w:rPr>
            </w:pPr>
            <w:r w:rsidRPr="00414030">
              <w:rPr>
                <w:b/>
                <w:bCs/>
                <w:color w:val="000000"/>
              </w:rPr>
              <w:t>6.4 – Reporting</w:t>
            </w:r>
          </w:p>
        </w:tc>
        <w:tc>
          <w:tcPr>
            <w:tcW w:w="790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45904C4" w14:textId="77777777" w:rsidR="00510D87" w:rsidRPr="00414030" w:rsidRDefault="00510D87" w:rsidP="000034D3">
            <w:pPr>
              <w:ind w:left="40"/>
            </w:pPr>
            <w:r w:rsidRPr="00414030">
              <w:t>For the LAS Links:</w:t>
            </w:r>
          </w:p>
          <w:p w14:paraId="061887A8" w14:textId="77777777" w:rsidR="00510D87" w:rsidRPr="00414030" w:rsidRDefault="00510D87" w:rsidP="008D31CB">
            <w:pPr>
              <w:pStyle w:val="ListParagraph"/>
              <w:numPr>
                <w:ilvl w:val="0"/>
                <w:numId w:val="9"/>
              </w:numPr>
              <w:ind w:left="360"/>
            </w:pPr>
            <w:r w:rsidRPr="00414030">
              <w:t>Evidence that the State provides coherent and timely information about each student’s attainment of the State’s ELP standards to parents that provides, upon request by a parent who is an individual with a disability as defined by the Americans with Disabilities Act (ADA), as amended, are provided in an alternative format accessible to that parent.</w:t>
            </w:r>
          </w:p>
        </w:tc>
      </w:tr>
    </w:tbl>
    <w:p w14:paraId="7F397EDD" w14:textId="77777777" w:rsidR="00EE15C6" w:rsidRPr="0034465F" w:rsidRDefault="00EE15C6" w:rsidP="00EE15C6">
      <w:pPr>
        <w:rPr>
          <w:b/>
        </w:rPr>
      </w:pPr>
    </w:p>
    <w:p w14:paraId="566A7621" w14:textId="77777777" w:rsidR="0041574E" w:rsidRDefault="0041574E" w:rsidP="00263A48">
      <w:pPr>
        <w:rPr>
          <w:b/>
        </w:rPr>
        <w:sectPr w:rsidR="0041574E" w:rsidSect="005C3E0B">
          <w:footerReference w:type="first" r:id="rId22"/>
          <w:pgSz w:w="12240" w:h="15840" w:code="1"/>
          <w:pgMar w:top="1080" w:right="1080" w:bottom="990" w:left="1080" w:header="576" w:footer="576" w:gutter="0"/>
          <w:pgNumType w:start="0"/>
          <w:cols w:space="720"/>
          <w:titlePg/>
          <w:docGrid w:linePitch="360"/>
        </w:sectPr>
      </w:pPr>
    </w:p>
    <w:p w14:paraId="444A42BD" w14:textId="77777777" w:rsidR="004B0E92" w:rsidRPr="005D1B26" w:rsidRDefault="004B0E92" w:rsidP="004B0E92">
      <w:pPr>
        <w:pStyle w:val="Title"/>
        <w:rPr>
          <w:rFonts w:ascii="Garamond" w:hAnsi="Garamond"/>
          <w:color w:val="C0C0C0"/>
        </w:rPr>
      </w:pPr>
      <w:r>
        <w:rPr>
          <w:rFonts w:ascii="Garamond" w:hAnsi="Garamond"/>
        </w:rPr>
        <w:lastRenderedPageBreak/>
        <w:t>U. S. Department of Education</w:t>
      </w:r>
    </w:p>
    <w:p w14:paraId="6FEF1A95" w14:textId="77777777" w:rsidR="004B0E92" w:rsidRPr="005D1B26" w:rsidRDefault="004B0E92" w:rsidP="004B0E92">
      <w:pPr>
        <w:jc w:val="center"/>
        <w:rPr>
          <w:rFonts w:ascii="Garamond" w:hAnsi="Garamond"/>
          <w:b/>
          <w:sz w:val="52"/>
        </w:rPr>
      </w:pPr>
      <w:r w:rsidRPr="005D1B26">
        <w:rPr>
          <w:rFonts w:ascii="Garamond" w:hAnsi="Garamond"/>
          <w:b/>
          <w:sz w:val="52"/>
        </w:rPr>
        <w:t>Peer Review of State Assessment Systems</w:t>
      </w:r>
    </w:p>
    <w:p w14:paraId="42DBC2BC" w14:textId="77777777" w:rsidR="004B0E92" w:rsidRDefault="004B0E92" w:rsidP="004B0E92">
      <w:pPr>
        <w:jc w:val="center"/>
        <w:rPr>
          <w:rFonts w:ascii="Garamond" w:hAnsi="Garamond"/>
          <w:b/>
          <w:sz w:val="40"/>
          <w:szCs w:val="40"/>
        </w:rPr>
      </w:pPr>
    </w:p>
    <w:p w14:paraId="03CA82D6" w14:textId="77777777" w:rsidR="004B0E92" w:rsidRDefault="004B0E92" w:rsidP="004B0E92">
      <w:pPr>
        <w:jc w:val="center"/>
        <w:rPr>
          <w:rFonts w:ascii="Garamond" w:hAnsi="Garamond"/>
          <w:b/>
          <w:sz w:val="40"/>
          <w:szCs w:val="40"/>
        </w:rPr>
      </w:pPr>
    </w:p>
    <w:p w14:paraId="0B0A0BBC" w14:textId="77777777" w:rsidR="004B0E92" w:rsidRPr="00CD3EB0" w:rsidRDefault="004B0E92" w:rsidP="004B0E92">
      <w:pPr>
        <w:jc w:val="center"/>
        <w:rPr>
          <w:rFonts w:ascii="Garamond" w:hAnsi="Garamond"/>
          <w:b/>
          <w:sz w:val="52"/>
          <w:szCs w:val="52"/>
        </w:rPr>
      </w:pPr>
    </w:p>
    <w:p w14:paraId="1B70E36C" w14:textId="77777777" w:rsidR="004B0E92" w:rsidRPr="00CD3EB0" w:rsidRDefault="004B0E92" w:rsidP="004B0E92">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54D15B95" w14:textId="77777777" w:rsidR="004B0E92" w:rsidRPr="005D1B26" w:rsidRDefault="004B0E92" w:rsidP="004B0E92">
      <w:pPr>
        <w:jc w:val="center"/>
        <w:rPr>
          <w:rFonts w:ascii="Garamond" w:hAnsi="Garamond"/>
          <w:b/>
          <w:sz w:val="32"/>
          <w:szCs w:val="32"/>
        </w:rPr>
      </w:pPr>
    </w:p>
    <w:p w14:paraId="7EB3498D" w14:textId="77777777" w:rsidR="004B0E92" w:rsidRPr="005D1B26" w:rsidRDefault="004B0E92" w:rsidP="004B0E92">
      <w:pPr>
        <w:jc w:val="center"/>
        <w:rPr>
          <w:rFonts w:ascii="Garamond" w:hAnsi="Garamond"/>
          <w:b/>
          <w:sz w:val="32"/>
          <w:szCs w:val="32"/>
        </w:rPr>
      </w:pPr>
    </w:p>
    <w:p w14:paraId="3F19B20A" w14:textId="77777777" w:rsidR="004B0E92" w:rsidRPr="005D1B26" w:rsidRDefault="004B0E92" w:rsidP="004B0E92">
      <w:pPr>
        <w:jc w:val="right"/>
        <w:rPr>
          <w:rFonts w:ascii="Garamond" w:hAnsi="Garamond"/>
          <w:b/>
          <w:sz w:val="32"/>
        </w:rPr>
      </w:pPr>
    </w:p>
    <w:p w14:paraId="57D0015F" w14:textId="15D5B4B7" w:rsidR="004B0E92" w:rsidRPr="00DF4E3F" w:rsidRDefault="004B0E92" w:rsidP="004B0E92">
      <w:pPr>
        <w:jc w:val="center"/>
        <w:rPr>
          <w:rFonts w:ascii="Garamond" w:hAnsi="Garamond"/>
          <w:b/>
          <w:sz w:val="32"/>
        </w:rPr>
      </w:pPr>
      <w:r>
        <w:rPr>
          <w:rFonts w:ascii="Arial" w:hAnsi="Arial" w:cs="Arial"/>
          <w:noProof/>
          <w:color w:val="0000FF"/>
          <w:sz w:val="20"/>
          <w:szCs w:val="20"/>
        </w:rPr>
        <w:drawing>
          <wp:inline distT="0" distB="0" distL="0" distR="0" wp14:anchorId="6148E371" wp14:editId="06AF8032">
            <wp:extent cx="1819910" cy="1819910"/>
            <wp:effectExtent l="0" t="0" r="8890" b="8890"/>
            <wp:docPr id="1" name="Picture 1" descr="U.S. Department of Education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Education official se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9910" cy="1819910"/>
                    </a:xfrm>
                    <a:prstGeom prst="rect">
                      <a:avLst/>
                    </a:prstGeom>
                    <a:noFill/>
                    <a:ln>
                      <a:noFill/>
                    </a:ln>
                  </pic:spPr>
                </pic:pic>
              </a:graphicData>
            </a:graphic>
          </wp:inline>
        </w:drawing>
      </w:r>
    </w:p>
    <w:p w14:paraId="61D18E40" w14:textId="77777777" w:rsidR="004B0E92" w:rsidRPr="00DF4E3F" w:rsidRDefault="004B0E92" w:rsidP="004B0E92">
      <w:pPr>
        <w:jc w:val="center"/>
        <w:rPr>
          <w:rFonts w:ascii="Garamond" w:hAnsi="Garamond"/>
          <w:b/>
        </w:rPr>
      </w:pPr>
    </w:p>
    <w:p w14:paraId="3F4B06F1" w14:textId="77777777" w:rsidR="004B0E92" w:rsidRPr="00DF4E3F" w:rsidRDefault="004B0E92" w:rsidP="004B0E92">
      <w:pPr>
        <w:jc w:val="center"/>
        <w:rPr>
          <w:rFonts w:ascii="Garamond" w:hAnsi="Garamond"/>
          <w:b/>
        </w:rPr>
      </w:pPr>
    </w:p>
    <w:p w14:paraId="3C560F49" w14:textId="77777777" w:rsidR="004B0E92" w:rsidRPr="00DF4E3F" w:rsidRDefault="004B0E92" w:rsidP="004B0E92">
      <w:pPr>
        <w:jc w:val="center"/>
        <w:rPr>
          <w:rFonts w:ascii="Garamond" w:hAnsi="Garamond"/>
          <w:b/>
        </w:rPr>
      </w:pPr>
      <w:r w:rsidRPr="00DF4E3F">
        <w:rPr>
          <w:rFonts w:ascii="Garamond" w:hAnsi="Garamond"/>
          <w:b/>
        </w:rPr>
        <w:t>U. S. Department of Education</w:t>
      </w:r>
    </w:p>
    <w:p w14:paraId="4C954527" w14:textId="77777777" w:rsidR="004B0E92" w:rsidRPr="00DF4E3F" w:rsidRDefault="004B0E92" w:rsidP="004B0E92">
      <w:pPr>
        <w:jc w:val="center"/>
        <w:rPr>
          <w:rFonts w:ascii="Garamond" w:hAnsi="Garamond"/>
          <w:b/>
        </w:rPr>
      </w:pPr>
      <w:r w:rsidRPr="00DF4E3F">
        <w:rPr>
          <w:rFonts w:ascii="Garamond" w:hAnsi="Garamond"/>
          <w:b/>
        </w:rPr>
        <w:t>Office of Elementary and Secondary Education</w:t>
      </w:r>
    </w:p>
    <w:p w14:paraId="158AB6A6" w14:textId="77777777" w:rsidR="004B0E92" w:rsidRPr="00DF4E3F" w:rsidRDefault="004B0E92" w:rsidP="004B0E92">
      <w:pPr>
        <w:jc w:val="center"/>
        <w:rPr>
          <w:rFonts w:ascii="Garamond" w:hAnsi="Garamond"/>
          <w:b/>
        </w:rPr>
      </w:pPr>
      <w:r w:rsidRPr="00DF4E3F">
        <w:rPr>
          <w:rFonts w:ascii="Garamond" w:hAnsi="Garamond"/>
          <w:b/>
        </w:rPr>
        <w:t>Washington, D.C. 20202</w:t>
      </w:r>
    </w:p>
    <w:p w14:paraId="058DAABE" w14:textId="77777777" w:rsidR="004B0E92" w:rsidRPr="00DF4E3F" w:rsidRDefault="004B0E92" w:rsidP="004B0E92">
      <w:pPr>
        <w:jc w:val="center"/>
        <w:rPr>
          <w:rFonts w:ascii="Garamond" w:hAnsi="Garamond"/>
          <w:b/>
        </w:rPr>
      </w:pPr>
    </w:p>
    <w:p w14:paraId="26DBE37D" w14:textId="77777777" w:rsidR="004B0E92" w:rsidRPr="00DF4E3F" w:rsidRDefault="004B0E92" w:rsidP="004B0E92">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5CB2E92E" w14:textId="77777777" w:rsidR="004B0E92" w:rsidRDefault="004B0E92" w:rsidP="004B0E92">
      <w:pPr>
        <w:pStyle w:val="Caption"/>
      </w:pPr>
      <w:r>
        <w:rPr>
          <w:rFonts w:eastAsia="Times New Roman"/>
        </w:rPr>
        <w:br w:type="page"/>
      </w:r>
      <w:r>
        <w:lastRenderedPageBreak/>
        <w:t>Contents</w:t>
      </w:r>
    </w:p>
    <w:p w14:paraId="56A88172" w14:textId="77777777" w:rsidR="004B0E92" w:rsidRPr="00473173" w:rsidRDefault="004B0E92" w:rsidP="004B0E92">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197AD64C" w14:textId="77777777" w:rsidR="004B0E92" w:rsidRPr="00473173" w:rsidRDefault="00E87626" w:rsidP="004B0E92">
      <w:pPr>
        <w:pStyle w:val="TOC2"/>
        <w:rPr>
          <w:rFonts w:ascii="Calibri" w:eastAsia="Times New Roman" w:hAnsi="Calibri" w:cs="Times New Roman"/>
          <w:b w:val="0"/>
          <w:bCs w:val="0"/>
          <w:sz w:val="22"/>
          <w:szCs w:val="22"/>
        </w:rPr>
      </w:pPr>
      <w:hyperlink w:anchor="_Toc3354954" w:history="1">
        <w:r w:rsidR="004B0E92" w:rsidRPr="00E605DC">
          <w:rPr>
            <w:rStyle w:val="Hyperlink"/>
          </w:rPr>
          <w:t>Critical Element 1.1 – State Adoption of ELP Standards for All English Learners</w:t>
        </w:r>
        <w:r w:rsidR="004B0E92">
          <w:rPr>
            <w:webHidden/>
          </w:rPr>
          <w:tab/>
        </w:r>
        <w:r w:rsidR="004B0E92">
          <w:rPr>
            <w:webHidden/>
          </w:rPr>
          <w:fldChar w:fldCharType="begin"/>
        </w:r>
        <w:r w:rsidR="004B0E92">
          <w:rPr>
            <w:webHidden/>
          </w:rPr>
          <w:instrText xml:space="preserve"> PAGEREF _Toc3354954 \h </w:instrText>
        </w:r>
        <w:r w:rsidR="004B0E92">
          <w:rPr>
            <w:webHidden/>
          </w:rPr>
        </w:r>
        <w:r w:rsidR="004B0E92">
          <w:rPr>
            <w:webHidden/>
          </w:rPr>
          <w:fldChar w:fldCharType="separate"/>
        </w:r>
        <w:r w:rsidR="004B0E92">
          <w:rPr>
            <w:webHidden/>
          </w:rPr>
          <w:t>4</w:t>
        </w:r>
        <w:r w:rsidR="004B0E92">
          <w:rPr>
            <w:webHidden/>
          </w:rPr>
          <w:fldChar w:fldCharType="end"/>
        </w:r>
      </w:hyperlink>
    </w:p>
    <w:p w14:paraId="187BD9F5" w14:textId="77777777" w:rsidR="004B0E92" w:rsidRPr="00473173" w:rsidRDefault="00E87626" w:rsidP="004B0E92">
      <w:pPr>
        <w:pStyle w:val="TOC2"/>
        <w:rPr>
          <w:rFonts w:ascii="Calibri" w:eastAsia="Times New Roman" w:hAnsi="Calibri" w:cs="Times New Roman"/>
          <w:b w:val="0"/>
          <w:bCs w:val="0"/>
          <w:sz w:val="22"/>
          <w:szCs w:val="22"/>
        </w:rPr>
      </w:pPr>
      <w:hyperlink w:anchor="_Toc3354955" w:history="1">
        <w:r w:rsidR="004B0E92" w:rsidRPr="00E605DC">
          <w:rPr>
            <w:rStyle w:val="Hyperlink"/>
          </w:rPr>
          <w:t>Critical Element 1.2 – Coherent and Progressive ELP Standards that Correspond to the State’s Academic Content Standards</w:t>
        </w:r>
        <w:r w:rsidR="004B0E92">
          <w:rPr>
            <w:webHidden/>
          </w:rPr>
          <w:tab/>
        </w:r>
        <w:r w:rsidR="004B0E92">
          <w:rPr>
            <w:webHidden/>
          </w:rPr>
          <w:fldChar w:fldCharType="begin"/>
        </w:r>
        <w:r w:rsidR="004B0E92">
          <w:rPr>
            <w:webHidden/>
          </w:rPr>
          <w:instrText xml:space="preserve"> PAGEREF _Toc3354955 \h </w:instrText>
        </w:r>
        <w:r w:rsidR="004B0E92">
          <w:rPr>
            <w:webHidden/>
          </w:rPr>
        </w:r>
        <w:r w:rsidR="004B0E92">
          <w:rPr>
            <w:webHidden/>
          </w:rPr>
          <w:fldChar w:fldCharType="separate"/>
        </w:r>
        <w:r w:rsidR="004B0E92">
          <w:rPr>
            <w:webHidden/>
          </w:rPr>
          <w:t>5</w:t>
        </w:r>
        <w:r w:rsidR="004B0E92">
          <w:rPr>
            <w:webHidden/>
          </w:rPr>
          <w:fldChar w:fldCharType="end"/>
        </w:r>
      </w:hyperlink>
    </w:p>
    <w:p w14:paraId="62655642" w14:textId="77777777" w:rsidR="004B0E92" w:rsidRPr="00473173" w:rsidRDefault="00E87626" w:rsidP="004B0E92">
      <w:pPr>
        <w:pStyle w:val="TOC2"/>
        <w:rPr>
          <w:rFonts w:ascii="Calibri" w:eastAsia="Times New Roman" w:hAnsi="Calibri" w:cs="Times New Roman"/>
          <w:b w:val="0"/>
          <w:bCs w:val="0"/>
          <w:sz w:val="22"/>
          <w:szCs w:val="22"/>
        </w:rPr>
      </w:pPr>
      <w:hyperlink w:anchor="_Toc3354956" w:history="1">
        <w:r w:rsidR="004B0E92" w:rsidRPr="00E605DC">
          <w:rPr>
            <w:rStyle w:val="Hyperlink"/>
          </w:rPr>
          <w:t>Critical Element 1.3 – Required Assessments</w:t>
        </w:r>
        <w:r w:rsidR="004B0E92">
          <w:rPr>
            <w:webHidden/>
          </w:rPr>
          <w:tab/>
        </w:r>
        <w:r w:rsidR="004B0E92">
          <w:rPr>
            <w:webHidden/>
          </w:rPr>
          <w:fldChar w:fldCharType="begin"/>
        </w:r>
        <w:r w:rsidR="004B0E92">
          <w:rPr>
            <w:webHidden/>
          </w:rPr>
          <w:instrText xml:space="preserve"> PAGEREF _Toc3354956 \h </w:instrText>
        </w:r>
        <w:r w:rsidR="004B0E92">
          <w:rPr>
            <w:webHidden/>
          </w:rPr>
        </w:r>
        <w:r w:rsidR="004B0E92">
          <w:rPr>
            <w:webHidden/>
          </w:rPr>
          <w:fldChar w:fldCharType="separate"/>
        </w:r>
        <w:r w:rsidR="004B0E92">
          <w:rPr>
            <w:webHidden/>
          </w:rPr>
          <w:t>6</w:t>
        </w:r>
        <w:r w:rsidR="004B0E92">
          <w:rPr>
            <w:webHidden/>
          </w:rPr>
          <w:fldChar w:fldCharType="end"/>
        </w:r>
      </w:hyperlink>
    </w:p>
    <w:p w14:paraId="64AAFC0A" w14:textId="77777777" w:rsidR="004B0E92" w:rsidRPr="00473173" w:rsidRDefault="00E87626" w:rsidP="004B0E92">
      <w:pPr>
        <w:pStyle w:val="TOC2"/>
        <w:rPr>
          <w:rFonts w:ascii="Calibri" w:eastAsia="Times New Roman" w:hAnsi="Calibri" w:cs="Times New Roman"/>
          <w:b w:val="0"/>
          <w:bCs w:val="0"/>
          <w:sz w:val="22"/>
          <w:szCs w:val="22"/>
        </w:rPr>
      </w:pPr>
      <w:hyperlink w:anchor="_Toc3354957" w:history="1">
        <w:r w:rsidR="004B0E92" w:rsidRPr="00E605DC">
          <w:rPr>
            <w:rStyle w:val="Hyperlink"/>
          </w:rPr>
          <w:t>Critical Element 1.4 – Policies for Including All Students in Assessments</w:t>
        </w:r>
        <w:r w:rsidR="004B0E92">
          <w:rPr>
            <w:webHidden/>
          </w:rPr>
          <w:tab/>
        </w:r>
        <w:r w:rsidR="004B0E92">
          <w:rPr>
            <w:webHidden/>
          </w:rPr>
          <w:fldChar w:fldCharType="begin"/>
        </w:r>
        <w:r w:rsidR="004B0E92">
          <w:rPr>
            <w:webHidden/>
          </w:rPr>
          <w:instrText xml:space="preserve"> PAGEREF _Toc3354957 \h </w:instrText>
        </w:r>
        <w:r w:rsidR="004B0E92">
          <w:rPr>
            <w:webHidden/>
          </w:rPr>
        </w:r>
        <w:r w:rsidR="004B0E92">
          <w:rPr>
            <w:webHidden/>
          </w:rPr>
          <w:fldChar w:fldCharType="separate"/>
        </w:r>
        <w:r w:rsidR="004B0E92">
          <w:rPr>
            <w:webHidden/>
          </w:rPr>
          <w:t>7</w:t>
        </w:r>
        <w:r w:rsidR="004B0E92">
          <w:rPr>
            <w:webHidden/>
          </w:rPr>
          <w:fldChar w:fldCharType="end"/>
        </w:r>
      </w:hyperlink>
    </w:p>
    <w:p w14:paraId="0E93F237" w14:textId="77777777" w:rsidR="004B0E92" w:rsidRPr="00473173" w:rsidRDefault="00E87626" w:rsidP="004B0E92">
      <w:pPr>
        <w:pStyle w:val="TOC2"/>
        <w:rPr>
          <w:rFonts w:ascii="Calibri" w:eastAsia="Times New Roman" w:hAnsi="Calibri" w:cs="Times New Roman"/>
          <w:b w:val="0"/>
          <w:bCs w:val="0"/>
          <w:sz w:val="22"/>
          <w:szCs w:val="22"/>
        </w:rPr>
      </w:pPr>
      <w:hyperlink w:anchor="_Toc3354958" w:history="1">
        <w:r w:rsidR="004B0E92" w:rsidRPr="00E605DC">
          <w:rPr>
            <w:rStyle w:val="Hyperlink"/>
          </w:rPr>
          <w:t>Critical Element 1.5 – Meaningful Consultation in the Development of Challenging State Standards and Assessments</w:t>
        </w:r>
        <w:r w:rsidR="004B0E92">
          <w:rPr>
            <w:webHidden/>
          </w:rPr>
          <w:tab/>
        </w:r>
        <w:r w:rsidR="004B0E92">
          <w:rPr>
            <w:webHidden/>
          </w:rPr>
          <w:fldChar w:fldCharType="begin"/>
        </w:r>
        <w:r w:rsidR="004B0E92">
          <w:rPr>
            <w:webHidden/>
          </w:rPr>
          <w:instrText xml:space="preserve"> PAGEREF _Toc3354958 \h </w:instrText>
        </w:r>
        <w:r w:rsidR="004B0E92">
          <w:rPr>
            <w:webHidden/>
          </w:rPr>
        </w:r>
        <w:r w:rsidR="004B0E92">
          <w:rPr>
            <w:webHidden/>
          </w:rPr>
          <w:fldChar w:fldCharType="separate"/>
        </w:r>
        <w:r w:rsidR="004B0E92">
          <w:rPr>
            <w:webHidden/>
          </w:rPr>
          <w:t>8</w:t>
        </w:r>
        <w:r w:rsidR="004B0E92">
          <w:rPr>
            <w:webHidden/>
          </w:rPr>
          <w:fldChar w:fldCharType="end"/>
        </w:r>
      </w:hyperlink>
    </w:p>
    <w:p w14:paraId="5CBFCEA4" w14:textId="77777777" w:rsidR="004B0E92" w:rsidRPr="00473173" w:rsidRDefault="00E87626" w:rsidP="004B0E92">
      <w:pPr>
        <w:pStyle w:val="TOC1"/>
        <w:tabs>
          <w:tab w:val="right" w:leader="dot" w:pos="9350"/>
        </w:tabs>
        <w:rPr>
          <w:rFonts w:ascii="Calibri" w:eastAsia="Times New Roman" w:hAnsi="Calibri"/>
          <w:b w:val="0"/>
          <w:bCs w:val="0"/>
          <w:caps w:val="0"/>
          <w:noProof/>
          <w:sz w:val="22"/>
          <w:szCs w:val="22"/>
        </w:rPr>
      </w:pPr>
      <w:hyperlink w:anchor="_Toc3354959" w:history="1">
        <w:r w:rsidR="004B0E92" w:rsidRPr="00E605DC">
          <w:rPr>
            <w:rStyle w:val="Hyperlink"/>
            <w:noProof/>
          </w:rPr>
          <w:t>SECTION 2: ASSESSMENT SYSTEM OPERATIONS</w:t>
        </w:r>
        <w:r w:rsidR="004B0E92">
          <w:rPr>
            <w:noProof/>
            <w:webHidden/>
          </w:rPr>
          <w:tab/>
        </w:r>
        <w:r w:rsidR="004B0E92">
          <w:rPr>
            <w:noProof/>
            <w:webHidden/>
          </w:rPr>
          <w:fldChar w:fldCharType="begin"/>
        </w:r>
        <w:r w:rsidR="004B0E92">
          <w:rPr>
            <w:noProof/>
            <w:webHidden/>
          </w:rPr>
          <w:instrText xml:space="preserve"> PAGEREF _Toc3354959 \h </w:instrText>
        </w:r>
        <w:r w:rsidR="004B0E92">
          <w:rPr>
            <w:noProof/>
            <w:webHidden/>
          </w:rPr>
        </w:r>
        <w:r w:rsidR="004B0E92">
          <w:rPr>
            <w:noProof/>
            <w:webHidden/>
          </w:rPr>
          <w:fldChar w:fldCharType="separate"/>
        </w:r>
        <w:r w:rsidR="004B0E92">
          <w:rPr>
            <w:noProof/>
            <w:webHidden/>
          </w:rPr>
          <w:t>9</w:t>
        </w:r>
        <w:r w:rsidR="004B0E92">
          <w:rPr>
            <w:noProof/>
            <w:webHidden/>
          </w:rPr>
          <w:fldChar w:fldCharType="end"/>
        </w:r>
      </w:hyperlink>
    </w:p>
    <w:p w14:paraId="45675F4A" w14:textId="77777777" w:rsidR="004B0E92" w:rsidRPr="00473173" w:rsidRDefault="00E87626" w:rsidP="004B0E92">
      <w:pPr>
        <w:pStyle w:val="TOC2"/>
        <w:rPr>
          <w:rFonts w:ascii="Calibri" w:eastAsia="Times New Roman" w:hAnsi="Calibri" w:cs="Times New Roman"/>
          <w:b w:val="0"/>
          <w:bCs w:val="0"/>
          <w:sz w:val="22"/>
          <w:szCs w:val="22"/>
        </w:rPr>
      </w:pPr>
      <w:hyperlink w:anchor="_Toc3354960" w:history="1">
        <w:r w:rsidR="004B0E92" w:rsidRPr="00E605DC">
          <w:rPr>
            <w:rStyle w:val="Hyperlink"/>
          </w:rPr>
          <w:t>Critical Element 2.1 – Test Design and Development</w:t>
        </w:r>
        <w:r w:rsidR="004B0E92">
          <w:rPr>
            <w:webHidden/>
          </w:rPr>
          <w:tab/>
        </w:r>
        <w:r w:rsidR="004B0E92">
          <w:rPr>
            <w:webHidden/>
          </w:rPr>
          <w:fldChar w:fldCharType="begin"/>
        </w:r>
        <w:r w:rsidR="004B0E92">
          <w:rPr>
            <w:webHidden/>
          </w:rPr>
          <w:instrText xml:space="preserve"> PAGEREF _Toc3354960 \h </w:instrText>
        </w:r>
        <w:r w:rsidR="004B0E92">
          <w:rPr>
            <w:webHidden/>
          </w:rPr>
        </w:r>
        <w:r w:rsidR="004B0E92">
          <w:rPr>
            <w:webHidden/>
          </w:rPr>
          <w:fldChar w:fldCharType="separate"/>
        </w:r>
        <w:r w:rsidR="004B0E92">
          <w:rPr>
            <w:webHidden/>
          </w:rPr>
          <w:t>9</w:t>
        </w:r>
        <w:r w:rsidR="004B0E92">
          <w:rPr>
            <w:webHidden/>
          </w:rPr>
          <w:fldChar w:fldCharType="end"/>
        </w:r>
      </w:hyperlink>
    </w:p>
    <w:p w14:paraId="29BF816F" w14:textId="77777777" w:rsidR="004B0E92" w:rsidRPr="00473173" w:rsidRDefault="00E87626" w:rsidP="004B0E92">
      <w:pPr>
        <w:pStyle w:val="TOC2"/>
        <w:rPr>
          <w:rFonts w:ascii="Calibri" w:eastAsia="Times New Roman" w:hAnsi="Calibri" w:cs="Times New Roman"/>
          <w:b w:val="0"/>
          <w:bCs w:val="0"/>
          <w:sz w:val="22"/>
          <w:szCs w:val="22"/>
        </w:rPr>
      </w:pPr>
      <w:hyperlink w:anchor="_Toc3354961" w:history="1">
        <w:r w:rsidR="004B0E92" w:rsidRPr="00E605DC">
          <w:rPr>
            <w:rStyle w:val="Hyperlink"/>
          </w:rPr>
          <w:t>Critical Element 2.2 – Item Development</w:t>
        </w:r>
        <w:r w:rsidR="004B0E92">
          <w:rPr>
            <w:webHidden/>
          </w:rPr>
          <w:tab/>
        </w:r>
        <w:r w:rsidR="004B0E92">
          <w:rPr>
            <w:webHidden/>
          </w:rPr>
          <w:fldChar w:fldCharType="begin"/>
        </w:r>
        <w:r w:rsidR="004B0E92">
          <w:rPr>
            <w:webHidden/>
          </w:rPr>
          <w:instrText xml:space="preserve"> PAGEREF _Toc3354961 \h </w:instrText>
        </w:r>
        <w:r w:rsidR="004B0E92">
          <w:rPr>
            <w:webHidden/>
          </w:rPr>
        </w:r>
        <w:r w:rsidR="004B0E92">
          <w:rPr>
            <w:webHidden/>
          </w:rPr>
          <w:fldChar w:fldCharType="separate"/>
        </w:r>
        <w:r w:rsidR="004B0E92">
          <w:rPr>
            <w:webHidden/>
          </w:rPr>
          <w:t>11</w:t>
        </w:r>
        <w:r w:rsidR="004B0E92">
          <w:rPr>
            <w:webHidden/>
          </w:rPr>
          <w:fldChar w:fldCharType="end"/>
        </w:r>
      </w:hyperlink>
    </w:p>
    <w:p w14:paraId="32D55A37" w14:textId="77777777" w:rsidR="004B0E92" w:rsidRPr="00473173" w:rsidRDefault="00E87626" w:rsidP="004B0E92">
      <w:pPr>
        <w:pStyle w:val="TOC2"/>
        <w:rPr>
          <w:rFonts w:ascii="Calibri" w:eastAsia="Times New Roman" w:hAnsi="Calibri" w:cs="Times New Roman"/>
          <w:b w:val="0"/>
          <w:bCs w:val="0"/>
          <w:sz w:val="22"/>
          <w:szCs w:val="22"/>
        </w:rPr>
      </w:pPr>
      <w:hyperlink w:anchor="_Toc3354962" w:history="1">
        <w:r w:rsidR="004B0E92" w:rsidRPr="00E605DC">
          <w:rPr>
            <w:rStyle w:val="Hyperlink"/>
          </w:rPr>
          <w:t>Critical Element 2.3 – Test Administration</w:t>
        </w:r>
        <w:r w:rsidR="004B0E92">
          <w:rPr>
            <w:webHidden/>
          </w:rPr>
          <w:tab/>
        </w:r>
        <w:r w:rsidR="004B0E92">
          <w:rPr>
            <w:webHidden/>
          </w:rPr>
          <w:fldChar w:fldCharType="begin"/>
        </w:r>
        <w:r w:rsidR="004B0E92">
          <w:rPr>
            <w:webHidden/>
          </w:rPr>
          <w:instrText xml:space="preserve"> PAGEREF _Toc3354962 \h </w:instrText>
        </w:r>
        <w:r w:rsidR="004B0E92">
          <w:rPr>
            <w:webHidden/>
          </w:rPr>
        </w:r>
        <w:r w:rsidR="004B0E92">
          <w:rPr>
            <w:webHidden/>
          </w:rPr>
          <w:fldChar w:fldCharType="separate"/>
        </w:r>
        <w:r w:rsidR="004B0E92">
          <w:rPr>
            <w:webHidden/>
          </w:rPr>
          <w:t>12</w:t>
        </w:r>
        <w:r w:rsidR="004B0E92">
          <w:rPr>
            <w:webHidden/>
          </w:rPr>
          <w:fldChar w:fldCharType="end"/>
        </w:r>
      </w:hyperlink>
    </w:p>
    <w:p w14:paraId="3DF2B01F" w14:textId="77777777" w:rsidR="004B0E92" w:rsidRPr="00473173" w:rsidRDefault="00E87626" w:rsidP="004B0E92">
      <w:pPr>
        <w:pStyle w:val="TOC2"/>
        <w:rPr>
          <w:rFonts w:ascii="Calibri" w:eastAsia="Times New Roman" w:hAnsi="Calibri" w:cs="Times New Roman"/>
          <w:b w:val="0"/>
          <w:bCs w:val="0"/>
          <w:sz w:val="22"/>
          <w:szCs w:val="22"/>
        </w:rPr>
      </w:pPr>
      <w:hyperlink w:anchor="_Toc3354963" w:history="1">
        <w:r w:rsidR="004B0E92" w:rsidRPr="00E605DC">
          <w:rPr>
            <w:rStyle w:val="Hyperlink"/>
          </w:rPr>
          <w:t>Critical Element 2.4 – Monitoring Test Administration</w:t>
        </w:r>
        <w:r w:rsidR="004B0E92">
          <w:rPr>
            <w:webHidden/>
          </w:rPr>
          <w:tab/>
        </w:r>
        <w:r w:rsidR="004B0E92">
          <w:rPr>
            <w:webHidden/>
          </w:rPr>
          <w:fldChar w:fldCharType="begin"/>
        </w:r>
        <w:r w:rsidR="004B0E92">
          <w:rPr>
            <w:webHidden/>
          </w:rPr>
          <w:instrText xml:space="preserve"> PAGEREF _Toc3354963 \h </w:instrText>
        </w:r>
        <w:r w:rsidR="004B0E92">
          <w:rPr>
            <w:webHidden/>
          </w:rPr>
        </w:r>
        <w:r w:rsidR="004B0E92">
          <w:rPr>
            <w:webHidden/>
          </w:rPr>
          <w:fldChar w:fldCharType="separate"/>
        </w:r>
        <w:r w:rsidR="004B0E92">
          <w:rPr>
            <w:webHidden/>
          </w:rPr>
          <w:t>14</w:t>
        </w:r>
        <w:r w:rsidR="004B0E92">
          <w:rPr>
            <w:webHidden/>
          </w:rPr>
          <w:fldChar w:fldCharType="end"/>
        </w:r>
      </w:hyperlink>
    </w:p>
    <w:p w14:paraId="225B5B52" w14:textId="77777777" w:rsidR="004B0E92" w:rsidRPr="00473173" w:rsidRDefault="00E87626" w:rsidP="004B0E92">
      <w:pPr>
        <w:pStyle w:val="TOC2"/>
        <w:rPr>
          <w:rFonts w:ascii="Calibri" w:eastAsia="Times New Roman" w:hAnsi="Calibri" w:cs="Times New Roman"/>
          <w:b w:val="0"/>
          <w:bCs w:val="0"/>
          <w:sz w:val="22"/>
          <w:szCs w:val="22"/>
        </w:rPr>
      </w:pPr>
      <w:hyperlink w:anchor="_Toc3354964" w:history="1">
        <w:r w:rsidR="004B0E92" w:rsidRPr="00E605DC">
          <w:rPr>
            <w:rStyle w:val="Hyperlink"/>
          </w:rPr>
          <w:t>Critical Element 2.5 – Test Security</w:t>
        </w:r>
        <w:r w:rsidR="004B0E92">
          <w:rPr>
            <w:webHidden/>
          </w:rPr>
          <w:tab/>
        </w:r>
        <w:r w:rsidR="004B0E92">
          <w:rPr>
            <w:webHidden/>
          </w:rPr>
          <w:fldChar w:fldCharType="begin"/>
        </w:r>
        <w:r w:rsidR="004B0E92">
          <w:rPr>
            <w:webHidden/>
          </w:rPr>
          <w:instrText xml:space="preserve"> PAGEREF _Toc3354964 \h </w:instrText>
        </w:r>
        <w:r w:rsidR="004B0E92">
          <w:rPr>
            <w:webHidden/>
          </w:rPr>
        </w:r>
        <w:r w:rsidR="004B0E92">
          <w:rPr>
            <w:webHidden/>
          </w:rPr>
          <w:fldChar w:fldCharType="separate"/>
        </w:r>
        <w:r w:rsidR="004B0E92">
          <w:rPr>
            <w:webHidden/>
          </w:rPr>
          <w:t>16</w:t>
        </w:r>
        <w:r w:rsidR="004B0E92">
          <w:rPr>
            <w:webHidden/>
          </w:rPr>
          <w:fldChar w:fldCharType="end"/>
        </w:r>
      </w:hyperlink>
    </w:p>
    <w:p w14:paraId="25CB2C43" w14:textId="77777777" w:rsidR="004B0E92" w:rsidRPr="00473173" w:rsidRDefault="00E87626" w:rsidP="004B0E92">
      <w:pPr>
        <w:pStyle w:val="TOC2"/>
        <w:rPr>
          <w:rFonts w:ascii="Calibri" w:eastAsia="Times New Roman" w:hAnsi="Calibri" w:cs="Times New Roman"/>
          <w:b w:val="0"/>
          <w:bCs w:val="0"/>
          <w:sz w:val="22"/>
          <w:szCs w:val="22"/>
        </w:rPr>
      </w:pPr>
      <w:hyperlink w:anchor="_Toc3354965" w:history="1">
        <w:r w:rsidR="004B0E92" w:rsidRPr="00E605DC">
          <w:rPr>
            <w:rStyle w:val="Hyperlink"/>
          </w:rPr>
          <w:t>Critical Element 2.6 – Systems for Protecting Data Integrity and Privacy</w:t>
        </w:r>
        <w:r w:rsidR="004B0E92">
          <w:rPr>
            <w:webHidden/>
          </w:rPr>
          <w:tab/>
        </w:r>
        <w:r w:rsidR="004B0E92">
          <w:rPr>
            <w:webHidden/>
          </w:rPr>
          <w:fldChar w:fldCharType="begin"/>
        </w:r>
        <w:r w:rsidR="004B0E92">
          <w:rPr>
            <w:webHidden/>
          </w:rPr>
          <w:instrText xml:space="preserve"> PAGEREF _Toc3354965 \h </w:instrText>
        </w:r>
        <w:r w:rsidR="004B0E92">
          <w:rPr>
            <w:webHidden/>
          </w:rPr>
        </w:r>
        <w:r w:rsidR="004B0E92">
          <w:rPr>
            <w:webHidden/>
          </w:rPr>
          <w:fldChar w:fldCharType="separate"/>
        </w:r>
        <w:r w:rsidR="004B0E92">
          <w:rPr>
            <w:webHidden/>
          </w:rPr>
          <w:t>18</w:t>
        </w:r>
        <w:r w:rsidR="004B0E92">
          <w:rPr>
            <w:webHidden/>
          </w:rPr>
          <w:fldChar w:fldCharType="end"/>
        </w:r>
      </w:hyperlink>
    </w:p>
    <w:p w14:paraId="7E6DC726" w14:textId="77777777" w:rsidR="004B0E92" w:rsidRPr="00473173" w:rsidRDefault="00E87626" w:rsidP="004B0E92">
      <w:pPr>
        <w:pStyle w:val="TOC1"/>
        <w:tabs>
          <w:tab w:val="right" w:leader="dot" w:pos="9350"/>
        </w:tabs>
        <w:rPr>
          <w:rFonts w:ascii="Calibri" w:eastAsia="Times New Roman" w:hAnsi="Calibri"/>
          <w:b w:val="0"/>
          <w:bCs w:val="0"/>
          <w:caps w:val="0"/>
          <w:noProof/>
          <w:sz w:val="22"/>
          <w:szCs w:val="22"/>
        </w:rPr>
      </w:pPr>
      <w:hyperlink w:anchor="_Toc3354966" w:history="1">
        <w:r w:rsidR="004B0E92" w:rsidRPr="00E605DC">
          <w:rPr>
            <w:rStyle w:val="Hyperlink"/>
            <w:noProof/>
          </w:rPr>
          <w:t>SECTION 3: TECHNICAL QUALITY – VALIDITY</w:t>
        </w:r>
        <w:r w:rsidR="004B0E92">
          <w:rPr>
            <w:noProof/>
            <w:webHidden/>
          </w:rPr>
          <w:tab/>
        </w:r>
        <w:r w:rsidR="004B0E92">
          <w:rPr>
            <w:noProof/>
            <w:webHidden/>
          </w:rPr>
          <w:fldChar w:fldCharType="begin"/>
        </w:r>
        <w:r w:rsidR="004B0E92">
          <w:rPr>
            <w:noProof/>
            <w:webHidden/>
          </w:rPr>
          <w:instrText xml:space="preserve"> PAGEREF _Toc3354966 \h </w:instrText>
        </w:r>
        <w:r w:rsidR="004B0E92">
          <w:rPr>
            <w:noProof/>
            <w:webHidden/>
          </w:rPr>
        </w:r>
        <w:r w:rsidR="004B0E92">
          <w:rPr>
            <w:noProof/>
            <w:webHidden/>
          </w:rPr>
          <w:fldChar w:fldCharType="separate"/>
        </w:r>
        <w:r w:rsidR="004B0E92">
          <w:rPr>
            <w:noProof/>
            <w:webHidden/>
          </w:rPr>
          <w:t>20</w:t>
        </w:r>
        <w:r w:rsidR="004B0E92">
          <w:rPr>
            <w:noProof/>
            <w:webHidden/>
          </w:rPr>
          <w:fldChar w:fldCharType="end"/>
        </w:r>
      </w:hyperlink>
    </w:p>
    <w:p w14:paraId="547E0194" w14:textId="77777777" w:rsidR="004B0E92" w:rsidRPr="00473173" w:rsidRDefault="00E87626" w:rsidP="004B0E92">
      <w:pPr>
        <w:pStyle w:val="TOC2"/>
        <w:rPr>
          <w:rFonts w:ascii="Calibri" w:eastAsia="Times New Roman" w:hAnsi="Calibri" w:cs="Times New Roman"/>
          <w:b w:val="0"/>
          <w:bCs w:val="0"/>
          <w:sz w:val="22"/>
          <w:szCs w:val="22"/>
        </w:rPr>
      </w:pPr>
      <w:hyperlink w:anchor="_Toc3354967" w:history="1">
        <w:r w:rsidR="004B0E92" w:rsidRPr="00E605DC">
          <w:rPr>
            <w:rStyle w:val="Hyperlink"/>
          </w:rPr>
          <w:t>Critical Element 3.1 – Overall Validity, Including Validity Based on Content</w:t>
        </w:r>
        <w:r w:rsidR="004B0E92">
          <w:rPr>
            <w:webHidden/>
          </w:rPr>
          <w:tab/>
        </w:r>
        <w:r w:rsidR="004B0E92">
          <w:rPr>
            <w:webHidden/>
          </w:rPr>
          <w:fldChar w:fldCharType="begin"/>
        </w:r>
        <w:r w:rsidR="004B0E92">
          <w:rPr>
            <w:webHidden/>
          </w:rPr>
          <w:instrText xml:space="preserve"> PAGEREF _Toc3354967 \h </w:instrText>
        </w:r>
        <w:r w:rsidR="004B0E92">
          <w:rPr>
            <w:webHidden/>
          </w:rPr>
        </w:r>
        <w:r w:rsidR="004B0E92">
          <w:rPr>
            <w:webHidden/>
          </w:rPr>
          <w:fldChar w:fldCharType="separate"/>
        </w:r>
        <w:r w:rsidR="004B0E92">
          <w:rPr>
            <w:webHidden/>
          </w:rPr>
          <w:t>20</w:t>
        </w:r>
        <w:r w:rsidR="004B0E92">
          <w:rPr>
            <w:webHidden/>
          </w:rPr>
          <w:fldChar w:fldCharType="end"/>
        </w:r>
      </w:hyperlink>
    </w:p>
    <w:p w14:paraId="010F5F84" w14:textId="77777777" w:rsidR="004B0E92" w:rsidRPr="00473173" w:rsidRDefault="00E87626" w:rsidP="004B0E92">
      <w:pPr>
        <w:pStyle w:val="TOC2"/>
        <w:rPr>
          <w:rFonts w:ascii="Calibri" w:eastAsia="Times New Roman" w:hAnsi="Calibri" w:cs="Times New Roman"/>
          <w:b w:val="0"/>
          <w:bCs w:val="0"/>
          <w:sz w:val="22"/>
          <w:szCs w:val="22"/>
        </w:rPr>
      </w:pPr>
      <w:hyperlink w:anchor="_Toc3354968" w:history="1">
        <w:r w:rsidR="004B0E92" w:rsidRPr="00E605DC">
          <w:rPr>
            <w:rStyle w:val="Hyperlink"/>
          </w:rPr>
          <w:t>Critical Element 3.2 – Validity Based on Linguistic Processes</w:t>
        </w:r>
        <w:r w:rsidR="004B0E92">
          <w:rPr>
            <w:webHidden/>
          </w:rPr>
          <w:tab/>
        </w:r>
        <w:r w:rsidR="004B0E92">
          <w:rPr>
            <w:webHidden/>
          </w:rPr>
          <w:fldChar w:fldCharType="begin"/>
        </w:r>
        <w:r w:rsidR="004B0E92">
          <w:rPr>
            <w:webHidden/>
          </w:rPr>
          <w:instrText xml:space="preserve"> PAGEREF _Toc3354968 \h </w:instrText>
        </w:r>
        <w:r w:rsidR="004B0E92">
          <w:rPr>
            <w:webHidden/>
          </w:rPr>
        </w:r>
        <w:r w:rsidR="004B0E92">
          <w:rPr>
            <w:webHidden/>
          </w:rPr>
          <w:fldChar w:fldCharType="separate"/>
        </w:r>
        <w:r w:rsidR="004B0E92">
          <w:rPr>
            <w:webHidden/>
          </w:rPr>
          <w:t>22</w:t>
        </w:r>
        <w:r w:rsidR="004B0E92">
          <w:rPr>
            <w:webHidden/>
          </w:rPr>
          <w:fldChar w:fldCharType="end"/>
        </w:r>
      </w:hyperlink>
    </w:p>
    <w:p w14:paraId="45CFE8C6" w14:textId="77777777" w:rsidR="004B0E92" w:rsidRPr="00473173" w:rsidRDefault="00E87626" w:rsidP="004B0E92">
      <w:pPr>
        <w:pStyle w:val="TOC2"/>
        <w:rPr>
          <w:rFonts w:ascii="Calibri" w:eastAsia="Times New Roman" w:hAnsi="Calibri" w:cs="Times New Roman"/>
          <w:b w:val="0"/>
          <w:bCs w:val="0"/>
          <w:sz w:val="22"/>
          <w:szCs w:val="22"/>
        </w:rPr>
      </w:pPr>
      <w:hyperlink w:anchor="_Toc3354969" w:history="1">
        <w:r w:rsidR="004B0E92" w:rsidRPr="00E605DC">
          <w:rPr>
            <w:rStyle w:val="Hyperlink"/>
          </w:rPr>
          <w:t>Critical Element 3.3 – Validity Based on Internal Structure</w:t>
        </w:r>
        <w:r w:rsidR="004B0E92">
          <w:rPr>
            <w:webHidden/>
          </w:rPr>
          <w:tab/>
        </w:r>
        <w:r w:rsidR="004B0E92">
          <w:rPr>
            <w:webHidden/>
          </w:rPr>
          <w:fldChar w:fldCharType="begin"/>
        </w:r>
        <w:r w:rsidR="004B0E92">
          <w:rPr>
            <w:webHidden/>
          </w:rPr>
          <w:instrText xml:space="preserve"> PAGEREF _Toc3354969 \h </w:instrText>
        </w:r>
        <w:r w:rsidR="004B0E92">
          <w:rPr>
            <w:webHidden/>
          </w:rPr>
        </w:r>
        <w:r w:rsidR="004B0E92">
          <w:rPr>
            <w:webHidden/>
          </w:rPr>
          <w:fldChar w:fldCharType="separate"/>
        </w:r>
        <w:r w:rsidR="004B0E92">
          <w:rPr>
            <w:webHidden/>
          </w:rPr>
          <w:t>23</w:t>
        </w:r>
        <w:r w:rsidR="004B0E92">
          <w:rPr>
            <w:webHidden/>
          </w:rPr>
          <w:fldChar w:fldCharType="end"/>
        </w:r>
      </w:hyperlink>
    </w:p>
    <w:p w14:paraId="5421D902" w14:textId="77777777" w:rsidR="004B0E92" w:rsidRPr="00473173" w:rsidRDefault="00E87626" w:rsidP="004B0E92">
      <w:pPr>
        <w:pStyle w:val="TOC2"/>
        <w:rPr>
          <w:rFonts w:ascii="Calibri" w:eastAsia="Times New Roman" w:hAnsi="Calibri" w:cs="Times New Roman"/>
          <w:b w:val="0"/>
          <w:bCs w:val="0"/>
          <w:sz w:val="22"/>
          <w:szCs w:val="22"/>
        </w:rPr>
      </w:pPr>
      <w:hyperlink w:anchor="_Toc3354970" w:history="1">
        <w:r w:rsidR="004B0E92" w:rsidRPr="00E605DC">
          <w:rPr>
            <w:rStyle w:val="Hyperlink"/>
          </w:rPr>
          <w:t>Critical Element 3.4 – Validity Based on Relations to Other Variables</w:t>
        </w:r>
        <w:r w:rsidR="004B0E92">
          <w:rPr>
            <w:webHidden/>
          </w:rPr>
          <w:tab/>
        </w:r>
        <w:r w:rsidR="004B0E92">
          <w:rPr>
            <w:webHidden/>
          </w:rPr>
          <w:fldChar w:fldCharType="begin"/>
        </w:r>
        <w:r w:rsidR="004B0E92">
          <w:rPr>
            <w:webHidden/>
          </w:rPr>
          <w:instrText xml:space="preserve"> PAGEREF _Toc3354970 \h </w:instrText>
        </w:r>
        <w:r w:rsidR="004B0E92">
          <w:rPr>
            <w:webHidden/>
          </w:rPr>
        </w:r>
        <w:r w:rsidR="004B0E92">
          <w:rPr>
            <w:webHidden/>
          </w:rPr>
          <w:fldChar w:fldCharType="separate"/>
        </w:r>
        <w:r w:rsidR="004B0E92">
          <w:rPr>
            <w:webHidden/>
          </w:rPr>
          <w:t>25</w:t>
        </w:r>
        <w:r w:rsidR="004B0E92">
          <w:rPr>
            <w:webHidden/>
          </w:rPr>
          <w:fldChar w:fldCharType="end"/>
        </w:r>
      </w:hyperlink>
    </w:p>
    <w:p w14:paraId="318F084E" w14:textId="77777777" w:rsidR="004B0E92" w:rsidRPr="00473173" w:rsidRDefault="00E87626" w:rsidP="004B0E92">
      <w:pPr>
        <w:pStyle w:val="TOC1"/>
        <w:tabs>
          <w:tab w:val="right" w:leader="dot" w:pos="9350"/>
        </w:tabs>
        <w:rPr>
          <w:rFonts w:ascii="Calibri" w:eastAsia="Times New Roman" w:hAnsi="Calibri"/>
          <w:b w:val="0"/>
          <w:bCs w:val="0"/>
          <w:caps w:val="0"/>
          <w:noProof/>
          <w:sz w:val="22"/>
          <w:szCs w:val="22"/>
        </w:rPr>
      </w:pPr>
      <w:hyperlink w:anchor="_Toc3354971" w:history="1">
        <w:r w:rsidR="004B0E92" w:rsidRPr="00E605DC">
          <w:rPr>
            <w:rStyle w:val="Hyperlink"/>
            <w:noProof/>
          </w:rPr>
          <w:t>SECTION 4: TECHNICAL QUALITY – OTHER</w:t>
        </w:r>
        <w:r w:rsidR="004B0E92">
          <w:rPr>
            <w:noProof/>
            <w:webHidden/>
          </w:rPr>
          <w:tab/>
        </w:r>
        <w:r w:rsidR="004B0E92">
          <w:rPr>
            <w:noProof/>
            <w:webHidden/>
          </w:rPr>
          <w:fldChar w:fldCharType="begin"/>
        </w:r>
        <w:r w:rsidR="004B0E92">
          <w:rPr>
            <w:noProof/>
            <w:webHidden/>
          </w:rPr>
          <w:instrText xml:space="preserve"> PAGEREF _Toc3354971 \h </w:instrText>
        </w:r>
        <w:r w:rsidR="004B0E92">
          <w:rPr>
            <w:noProof/>
            <w:webHidden/>
          </w:rPr>
        </w:r>
        <w:r w:rsidR="004B0E92">
          <w:rPr>
            <w:noProof/>
            <w:webHidden/>
          </w:rPr>
          <w:fldChar w:fldCharType="separate"/>
        </w:r>
        <w:r w:rsidR="004B0E92">
          <w:rPr>
            <w:noProof/>
            <w:webHidden/>
          </w:rPr>
          <w:t>26</w:t>
        </w:r>
        <w:r w:rsidR="004B0E92">
          <w:rPr>
            <w:noProof/>
            <w:webHidden/>
          </w:rPr>
          <w:fldChar w:fldCharType="end"/>
        </w:r>
      </w:hyperlink>
    </w:p>
    <w:p w14:paraId="573E655C" w14:textId="77777777" w:rsidR="004B0E92" w:rsidRPr="00473173" w:rsidRDefault="00E87626" w:rsidP="004B0E92">
      <w:pPr>
        <w:pStyle w:val="TOC2"/>
        <w:rPr>
          <w:rFonts w:ascii="Calibri" w:eastAsia="Times New Roman" w:hAnsi="Calibri" w:cs="Times New Roman"/>
          <w:b w:val="0"/>
          <w:bCs w:val="0"/>
          <w:sz w:val="22"/>
          <w:szCs w:val="22"/>
        </w:rPr>
      </w:pPr>
      <w:hyperlink w:anchor="_Toc3354972" w:history="1">
        <w:r w:rsidR="004B0E92" w:rsidRPr="00E605DC">
          <w:rPr>
            <w:rStyle w:val="Hyperlink"/>
          </w:rPr>
          <w:t>Critical Element 4.1 – Reliability</w:t>
        </w:r>
        <w:r w:rsidR="004B0E92">
          <w:rPr>
            <w:webHidden/>
          </w:rPr>
          <w:tab/>
        </w:r>
        <w:r w:rsidR="004B0E92">
          <w:rPr>
            <w:webHidden/>
          </w:rPr>
          <w:fldChar w:fldCharType="begin"/>
        </w:r>
        <w:r w:rsidR="004B0E92">
          <w:rPr>
            <w:webHidden/>
          </w:rPr>
          <w:instrText xml:space="preserve"> PAGEREF _Toc3354972 \h </w:instrText>
        </w:r>
        <w:r w:rsidR="004B0E92">
          <w:rPr>
            <w:webHidden/>
          </w:rPr>
        </w:r>
        <w:r w:rsidR="004B0E92">
          <w:rPr>
            <w:webHidden/>
          </w:rPr>
          <w:fldChar w:fldCharType="separate"/>
        </w:r>
        <w:r w:rsidR="004B0E92">
          <w:rPr>
            <w:webHidden/>
          </w:rPr>
          <w:t>26</w:t>
        </w:r>
        <w:r w:rsidR="004B0E92">
          <w:rPr>
            <w:webHidden/>
          </w:rPr>
          <w:fldChar w:fldCharType="end"/>
        </w:r>
      </w:hyperlink>
    </w:p>
    <w:p w14:paraId="0FC37023" w14:textId="77777777" w:rsidR="004B0E92" w:rsidRPr="00473173" w:rsidRDefault="00E87626" w:rsidP="004B0E92">
      <w:pPr>
        <w:pStyle w:val="TOC2"/>
        <w:rPr>
          <w:rFonts w:ascii="Calibri" w:eastAsia="Times New Roman" w:hAnsi="Calibri" w:cs="Times New Roman"/>
          <w:b w:val="0"/>
          <w:bCs w:val="0"/>
          <w:sz w:val="22"/>
          <w:szCs w:val="22"/>
        </w:rPr>
      </w:pPr>
      <w:hyperlink w:anchor="_Toc3354973" w:history="1">
        <w:r w:rsidR="004B0E92" w:rsidRPr="00E605DC">
          <w:rPr>
            <w:rStyle w:val="Hyperlink"/>
          </w:rPr>
          <w:t>Critical Element 4.2 – Fairness and Accessibility</w:t>
        </w:r>
        <w:r w:rsidR="004B0E92">
          <w:rPr>
            <w:webHidden/>
          </w:rPr>
          <w:tab/>
        </w:r>
        <w:r w:rsidR="004B0E92">
          <w:rPr>
            <w:webHidden/>
          </w:rPr>
          <w:fldChar w:fldCharType="begin"/>
        </w:r>
        <w:r w:rsidR="004B0E92">
          <w:rPr>
            <w:webHidden/>
          </w:rPr>
          <w:instrText xml:space="preserve"> PAGEREF _Toc3354973 \h </w:instrText>
        </w:r>
        <w:r w:rsidR="004B0E92">
          <w:rPr>
            <w:webHidden/>
          </w:rPr>
        </w:r>
        <w:r w:rsidR="004B0E92">
          <w:rPr>
            <w:webHidden/>
          </w:rPr>
          <w:fldChar w:fldCharType="separate"/>
        </w:r>
        <w:r w:rsidR="004B0E92">
          <w:rPr>
            <w:webHidden/>
          </w:rPr>
          <w:t>28</w:t>
        </w:r>
        <w:r w:rsidR="004B0E92">
          <w:rPr>
            <w:webHidden/>
          </w:rPr>
          <w:fldChar w:fldCharType="end"/>
        </w:r>
      </w:hyperlink>
    </w:p>
    <w:p w14:paraId="57B1AFE7" w14:textId="77777777" w:rsidR="004B0E92" w:rsidRPr="00473173" w:rsidRDefault="00E87626" w:rsidP="004B0E92">
      <w:pPr>
        <w:pStyle w:val="TOC2"/>
        <w:rPr>
          <w:rFonts w:ascii="Calibri" w:eastAsia="Times New Roman" w:hAnsi="Calibri" w:cs="Times New Roman"/>
          <w:b w:val="0"/>
          <w:bCs w:val="0"/>
          <w:sz w:val="22"/>
          <w:szCs w:val="22"/>
        </w:rPr>
      </w:pPr>
      <w:hyperlink w:anchor="_Toc3354974" w:history="1">
        <w:r w:rsidR="004B0E92" w:rsidRPr="00E605DC">
          <w:rPr>
            <w:rStyle w:val="Hyperlink"/>
          </w:rPr>
          <w:t>Critical Element 4.3 – Full Performance Continuum</w:t>
        </w:r>
        <w:r w:rsidR="004B0E92">
          <w:rPr>
            <w:webHidden/>
          </w:rPr>
          <w:tab/>
        </w:r>
        <w:r w:rsidR="004B0E92">
          <w:rPr>
            <w:webHidden/>
          </w:rPr>
          <w:fldChar w:fldCharType="begin"/>
        </w:r>
        <w:r w:rsidR="004B0E92">
          <w:rPr>
            <w:webHidden/>
          </w:rPr>
          <w:instrText xml:space="preserve"> PAGEREF _Toc3354974 \h </w:instrText>
        </w:r>
        <w:r w:rsidR="004B0E92">
          <w:rPr>
            <w:webHidden/>
          </w:rPr>
        </w:r>
        <w:r w:rsidR="004B0E92">
          <w:rPr>
            <w:webHidden/>
          </w:rPr>
          <w:fldChar w:fldCharType="separate"/>
        </w:r>
        <w:r w:rsidR="004B0E92">
          <w:rPr>
            <w:webHidden/>
          </w:rPr>
          <w:t>30</w:t>
        </w:r>
        <w:r w:rsidR="004B0E92">
          <w:rPr>
            <w:webHidden/>
          </w:rPr>
          <w:fldChar w:fldCharType="end"/>
        </w:r>
      </w:hyperlink>
    </w:p>
    <w:p w14:paraId="56B60BCE" w14:textId="77777777" w:rsidR="004B0E92" w:rsidRPr="00473173" w:rsidRDefault="00E87626" w:rsidP="004B0E92">
      <w:pPr>
        <w:pStyle w:val="TOC2"/>
        <w:rPr>
          <w:rFonts w:ascii="Calibri" w:eastAsia="Times New Roman" w:hAnsi="Calibri" w:cs="Times New Roman"/>
          <w:b w:val="0"/>
          <w:bCs w:val="0"/>
          <w:sz w:val="22"/>
          <w:szCs w:val="22"/>
        </w:rPr>
      </w:pPr>
      <w:hyperlink w:anchor="_Toc3354975" w:history="1">
        <w:r w:rsidR="004B0E92" w:rsidRPr="00E605DC">
          <w:rPr>
            <w:rStyle w:val="Hyperlink"/>
          </w:rPr>
          <w:t>Critical Element 4.4 – Scoring</w:t>
        </w:r>
        <w:r w:rsidR="004B0E92">
          <w:rPr>
            <w:webHidden/>
          </w:rPr>
          <w:tab/>
        </w:r>
        <w:r w:rsidR="004B0E92">
          <w:rPr>
            <w:webHidden/>
          </w:rPr>
          <w:fldChar w:fldCharType="begin"/>
        </w:r>
        <w:r w:rsidR="004B0E92">
          <w:rPr>
            <w:webHidden/>
          </w:rPr>
          <w:instrText xml:space="preserve"> PAGEREF _Toc3354975 \h </w:instrText>
        </w:r>
        <w:r w:rsidR="004B0E92">
          <w:rPr>
            <w:webHidden/>
          </w:rPr>
        </w:r>
        <w:r w:rsidR="004B0E92">
          <w:rPr>
            <w:webHidden/>
          </w:rPr>
          <w:fldChar w:fldCharType="separate"/>
        </w:r>
        <w:r w:rsidR="004B0E92">
          <w:rPr>
            <w:webHidden/>
          </w:rPr>
          <w:t>31</w:t>
        </w:r>
        <w:r w:rsidR="004B0E92">
          <w:rPr>
            <w:webHidden/>
          </w:rPr>
          <w:fldChar w:fldCharType="end"/>
        </w:r>
      </w:hyperlink>
    </w:p>
    <w:p w14:paraId="20EFC457" w14:textId="77777777" w:rsidR="004B0E92" w:rsidRPr="00473173" w:rsidRDefault="00E87626" w:rsidP="004B0E92">
      <w:pPr>
        <w:pStyle w:val="TOC2"/>
        <w:rPr>
          <w:rFonts w:ascii="Calibri" w:eastAsia="Times New Roman" w:hAnsi="Calibri" w:cs="Times New Roman"/>
          <w:b w:val="0"/>
          <w:bCs w:val="0"/>
          <w:sz w:val="22"/>
          <w:szCs w:val="22"/>
        </w:rPr>
      </w:pPr>
      <w:hyperlink w:anchor="_Toc3354976" w:history="1">
        <w:r w:rsidR="004B0E92" w:rsidRPr="00E605DC">
          <w:rPr>
            <w:rStyle w:val="Hyperlink"/>
          </w:rPr>
          <w:t>Critical Element 4.5 – Multiple Assessment Forms</w:t>
        </w:r>
        <w:r w:rsidR="004B0E92">
          <w:rPr>
            <w:webHidden/>
          </w:rPr>
          <w:tab/>
        </w:r>
        <w:r w:rsidR="004B0E92">
          <w:rPr>
            <w:webHidden/>
          </w:rPr>
          <w:fldChar w:fldCharType="begin"/>
        </w:r>
        <w:r w:rsidR="004B0E92">
          <w:rPr>
            <w:webHidden/>
          </w:rPr>
          <w:instrText xml:space="preserve"> PAGEREF _Toc3354976 \h </w:instrText>
        </w:r>
        <w:r w:rsidR="004B0E92">
          <w:rPr>
            <w:webHidden/>
          </w:rPr>
        </w:r>
        <w:r w:rsidR="004B0E92">
          <w:rPr>
            <w:webHidden/>
          </w:rPr>
          <w:fldChar w:fldCharType="separate"/>
        </w:r>
        <w:r w:rsidR="004B0E92">
          <w:rPr>
            <w:webHidden/>
          </w:rPr>
          <w:t>34</w:t>
        </w:r>
        <w:r w:rsidR="004B0E92">
          <w:rPr>
            <w:webHidden/>
          </w:rPr>
          <w:fldChar w:fldCharType="end"/>
        </w:r>
      </w:hyperlink>
    </w:p>
    <w:p w14:paraId="294C03AA" w14:textId="77777777" w:rsidR="004B0E92" w:rsidRPr="00473173" w:rsidRDefault="00E87626" w:rsidP="004B0E92">
      <w:pPr>
        <w:pStyle w:val="TOC2"/>
        <w:rPr>
          <w:rFonts w:ascii="Calibri" w:eastAsia="Times New Roman" w:hAnsi="Calibri" w:cs="Times New Roman"/>
          <w:b w:val="0"/>
          <w:bCs w:val="0"/>
          <w:sz w:val="22"/>
          <w:szCs w:val="22"/>
        </w:rPr>
      </w:pPr>
      <w:hyperlink w:anchor="_Toc3354977" w:history="1">
        <w:r w:rsidR="004B0E92" w:rsidRPr="00E605DC">
          <w:rPr>
            <w:rStyle w:val="Hyperlink"/>
          </w:rPr>
          <w:t>Critical Element 4.6 – Multiple Versions of an Assessment</w:t>
        </w:r>
        <w:r w:rsidR="004B0E92">
          <w:rPr>
            <w:webHidden/>
          </w:rPr>
          <w:tab/>
        </w:r>
        <w:r w:rsidR="004B0E92">
          <w:rPr>
            <w:webHidden/>
          </w:rPr>
          <w:fldChar w:fldCharType="begin"/>
        </w:r>
        <w:r w:rsidR="004B0E92">
          <w:rPr>
            <w:webHidden/>
          </w:rPr>
          <w:instrText xml:space="preserve"> PAGEREF _Toc3354977 \h </w:instrText>
        </w:r>
        <w:r w:rsidR="004B0E92">
          <w:rPr>
            <w:webHidden/>
          </w:rPr>
        </w:r>
        <w:r w:rsidR="004B0E92">
          <w:rPr>
            <w:webHidden/>
          </w:rPr>
          <w:fldChar w:fldCharType="separate"/>
        </w:r>
        <w:r w:rsidR="004B0E92">
          <w:rPr>
            <w:webHidden/>
          </w:rPr>
          <w:t>35</w:t>
        </w:r>
        <w:r w:rsidR="004B0E92">
          <w:rPr>
            <w:webHidden/>
          </w:rPr>
          <w:fldChar w:fldCharType="end"/>
        </w:r>
      </w:hyperlink>
    </w:p>
    <w:p w14:paraId="6435643A" w14:textId="77777777" w:rsidR="004B0E92" w:rsidRPr="00473173" w:rsidRDefault="00E87626" w:rsidP="004B0E92">
      <w:pPr>
        <w:pStyle w:val="TOC2"/>
        <w:rPr>
          <w:rFonts w:ascii="Calibri" w:eastAsia="Times New Roman" w:hAnsi="Calibri" w:cs="Times New Roman"/>
          <w:b w:val="0"/>
          <w:bCs w:val="0"/>
          <w:sz w:val="22"/>
          <w:szCs w:val="22"/>
        </w:rPr>
      </w:pPr>
      <w:hyperlink w:anchor="_Toc3354978" w:history="1">
        <w:r w:rsidR="004B0E92" w:rsidRPr="00E605DC">
          <w:rPr>
            <w:rStyle w:val="Hyperlink"/>
          </w:rPr>
          <w:t>Critical Element 4.7 – Technical Analysis and Ongoing Maintenance</w:t>
        </w:r>
        <w:r w:rsidR="004B0E92">
          <w:rPr>
            <w:webHidden/>
          </w:rPr>
          <w:tab/>
        </w:r>
        <w:r w:rsidR="004B0E92">
          <w:rPr>
            <w:webHidden/>
          </w:rPr>
          <w:fldChar w:fldCharType="begin"/>
        </w:r>
        <w:r w:rsidR="004B0E92">
          <w:rPr>
            <w:webHidden/>
          </w:rPr>
          <w:instrText xml:space="preserve"> PAGEREF _Toc3354978 \h </w:instrText>
        </w:r>
        <w:r w:rsidR="004B0E92">
          <w:rPr>
            <w:webHidden/>
          </w:rPr>
        </w:r>
        <w:r w:rsidR="004B0E92">
          <w:rPr>
            <w:webHidden/>
          </w:rPr>
          <w:fldChar w:fldCharType="separate"/>
        </w:r>
        <w:r w:rsidR="004B0E92">
          <w:rPr>
            <w:webHidden/>
          </w:rPr>
          <w:t>36</w:t>
        </w:r>
        <w:r w:rsidR="004B0E92">
          <w:rPr>
            <w:webHidden/>
          </w:rPr>
          <w:fldChar w:fldCharType="end"/>
        </w:r>
      </w:hyperlink>
    </w:p>
    <w:p w14:paraId="6F52EC3E" w14:textId="77777777" w:rsidR="004B0E92" w:rsidRPr="00473173" w:rsidRDefault="00E87626" w:rsidP="004B0E92">
      <w:pPr>
        <w:pStyle w:val="TOC1"/>
        <w:tabs>
          <w:tab w:val="right" w:leader="dot" w:pos="9350"/>
        </w:tabs>
        <w:rPr>
          <w:rFonts w:ascii="Calibri" w:eastAsia="Times New Roman" w:hAnsi="Calibri"/>
          <w:b w:val="0"/>
          <w:bCs w:val="0"/>
          <w:caps w:val="0"/>
          <w:noProof/>
          <w:sz w:val="22"/>
          <w:szCs w:val="22"/>
        </w:rPr>
      </w:pPr>
      <w:hyperlink w:anchor="_Toc3354979" w:history="1">
        <w:r w:rsidR="004B0E92" w:rsidRPr="00E605DC">
          <w:rPr>
            <w:rStyle w:val="Hyperlink"/>
            <w:noProof/>
          </w:rPr>
          <w:t>SECTION 5: INCLUSION OF ALL STUDENTS</w:t>
        </w:r>
        <w:r w:rsidR="004B0E92">
          <w:rPr>
            <w:noProof/>
            <w:webHidden/>
          </w:rPr>
          <w:tab/>
        </w:r>
        <w:r w:rsidR="004B0E92">
          <w:rPr>
            <w:noProof/>
            <w:webHidden/>
          </w:rPr>
          <w:fldChar w:fldCharType="begin"/>
        </w:r>
        <w:r w:rsidR="004B0E92">
          <w:rPr>
            <w:noProof/>
            <w:webHidden/>
          </w:rPr>
          <w:instrText xml:space="preserve"> PAGEREF _Toc3354979 \h </w:instrText>
        </w:r>
        <w:r w:rsidR="004B0E92">
          <w:rPr>
            <w:noProof/>
            <w:webHidden/>
          </w:rPr>
        </w:r>
        <w:r w:rsidR="004B0E92">
          <w:rPr>
            <w:noProof/>
            <w:webHidden/>
          </w:rPr>
          <w:fldChar w:fldCharType="separate"/>
        </w:r>
        <w:r w:rsidR="004B0E92">
          <w:rPr>
            <w:noProof/>
            <w:webHidden/>
          </w:rPr>
          <w:t>37</w:t>
        </w:r>
        <w:r w:rsidR="004B0E92">
          <w:rPr>
            <w:noProof/>
            <w:webHidden/>
          </w:rPr>
          <w:fldChar w:fldCharType="end"/>
        </w:r>
      </w:hyperlink>
    </w:p>
    <w:p w14:paraId="5B3E0B4C" w14:textId="77777777" w:rsidR="004B0E92" w:rsidRPr="00473173" w:rsidRDefault="00E87626" w:rsidP="004B0E92">
      <w:pPr>
        <w:pStyle w:val="TOC2"/>
        <w:rPr>
          <w:rFonts w:ascii="Calibri" w:eastAsia="Times New Roman" w:hAnsi="Calibri" w:cs="Times New Roman"/>
          <w:b w:val="0"/>
          <w:bCs w:val="0"/>
          <w:sz w:val="22"/>
          <w:szCs w:val="22"/>
        </w:rPr>
      </w:pPr>
      <w:hyperlink w:anchor="_Toc3354980" w:history="1">
        <w:r w:rsidR="004B0E92" w:rsidRPr="00E605DC">
          <w:rPr>
            <w:rStyle w:val="Hyperlink"/>
          </w:rPr>
          <w:t>Critical Element 5.1 – Procedures for Including Students with Disabilities</w:t>
        </w:r>
        <w:r w:rsidR="004B0E92">
          <w:rPr>
            <w:webHidden/>
          </w:rPr>
          <w:tab/>
        </w:r>
        <w:r w:rsidR="004B0E92">
          <w:rPr>
            <w:webHidden/>
          </w:rPr>
          <w:fldChar w:fldCharType="begin"/>
        </w:r>
        <w:r w:rsidR="004B0E92">
          <w:rPr>
            <w:webHidden/>
          </w:rPr>
          <w:instrText xml:space="preserve"> PAGEREF _Toc3354980 \h </w:instrText>
        </w:r>
        <w:r w:rsidR="004B0E92">
          <w:rPr>
            <w:webHidden/>
          </w:rPr>
        </w:r>
        <w:r w:rsidR="004B0E92">
          <w:rPr>
            <w:webHidden/>
          </w:rPr>
          <w:fldChar w:fldCharType="separate"/>
        </w:r>
        <w:r w:rsidR="004B0E92">
          <w:rPr>
            <w:webHidden/>
          </w:rPr>
          <w:t>37</w:t>
        </w:r>
        <w:r w:rsidR="004B0E92">
          <w:rPr>
            <w:webHidden/>
          </w:rPr>
          <w:fldChar w:fldCharType="end"/>
        </w:r>
      </w:hyperlink>
    </w:p>
    <w:p w14:paraId="7644375A" w14:textId="77777777" w:rsidR="004B0E92" w:rsidRPr="00473173" w:rsidRDefault="00E87626" w:rsidP="004B0E92">
      <w:pPr>
        <w:pStyle w:val="TOC2"/>
        <w:rPr>
          <w:rFonts w:ascii="Calibri" w:eastAsia="Times New Roman" w:hAnsi="Calibri" w:cs="Times New Roman"/>
          <w:b w:val="0"/>
          <w:bCs w:val="0"/>
          <w:sz w:val="22"/>
          <w:szCs w:val="22"/>
        </w:rPr>
      </w:pPr>
      <w:hyperlink w:anchor="_Toc3354981" w:history="1">
        <w:r w:rsidR="004B0E92" w:rsidRPr="00E605DC">
          <w:rPr>
            <w:rStyle w:val="Hyperlink"/>
          </w:rPr>
          <w:t>Critical Element 5.2 – DOES NOT APPLY to ELP Assessment Peer Review</w:t>
        </w:r>
        <w:r w:rsidR="004B0E92">
          <w:rPr>
            <w:webHidden/>
          </w:rPr>
          <w:tab/>
        </w:r>
        <w:r w:rsidR="004B0E92">
          <w:rPr>
            <w:webHidden/>
          </w:rPr>
          <w:fldChar w:fldCharType="begin"/>
        </w:r>
        <w:r w:rsidR="004B0E92">
          <w:rPr>
            <w:webHidden/>
          </w:rPr>
          <w:instrText xml:space="preserve"> PAGEREF _Toc3354981 \h </w:instrText>
        </w:r>
        <w:r w:rsidR="004B0E92">
          <w:rPr>
            <w:webHidden/>
          </w:rPr>
        </w:r>
        <w:r w:rsidR="004B0E92">
          <w:rPr>
            <w:webHidden/>
          </w:rPr>
          <w:fldChar w:fldCharType="separate"/>
        </w:r>
        <w:r w:rsidR="004B0E92">
          <w:rPr>
            <w:webHidden/>
          </w:rPr>
          <w:t>39</w:t>
        </w:r>
        <w:r w:rsidR="004B0E92">
          <w:rPr>
            <w:webHidden/>
          </w:rPr>
          <w:fldChar w:fldCharType="end"/>
        </w:r>
      </w:hyperlink>
    </w:p>
    <w:p w14:paraId="320C623F" w14:textId="77777777" w:rsidR="004B0E92" w:rsidRPr="00473173" w:rsidRDefault="00E87626" w:rsidP="004B0E92">
      <w:pPr>
        <w:pStyle w:val="TOC2"/>
        <w:rPr>
          <w:rFonts w:ascii="Calibri" w:eastAsia="Times New Roman" w:hAnsi="Calibri" w:cs="Times New Roman"/>
          <w:b w:val="0"/>
          <w:bCs w:val="0"/>
          <w:sz w:val="22"/>
          <w:szCs w:val="22"/>
        </w:rPr>
      </w:pPr>
      <w:hyperlink w:anchor="_Toc3354982" w:history="1">
        <w:r w:rsidR="004B0E92" w:rsidRPr="00E605DC">
          <w:rPr>
            <w:rStyle w:val="Hyperlink"/>
          </w:rPr>
          <w:t>Critical Element 5.3 – Accommodations</w:t>
        </w:r>
        <w:r w:rsidR="004B0E92">
          <w:rPr>
            <w:webHidden/>
          </w:rPr>
          <w:tab/>
        </w:r>
        <w:r w:rsidR="004B0E92">
          <w:rPr>
            <w:webHidden/>
          </w:rPr>
          <w:fldChar w:fldCharType="begin"/>
        </w:r>
        <w:r w:rsidR="004B0E92">
          <w:rPr>
            <w:webHidden/>
          </w:rPr>
          <w:instrText xml:space="preserve"> PAGEREF _Toc3354982 \h </w:instrText>
        </w:r>
        <w:r w:rsidR="004B0E92">
          <w:rPr>
            <w:webHidden/>
          </w:rPr>
        </w:r>
        <w:r w:rsidR="004B0E92">
          <w:rPr>
            <w:webHidden/>
          </w:rPr>
          <w:fldChar w:fldCharType="separate"/>
        </w:r>
        <w:r w:rsidR="004B0E92">
          <w:rPr>
            <w:webHidden/>
          </w:rPr>
          <w:t>40</w:t>
        </w:r>
        <w:r w:rsidR="004B0E92">
          <w:rPr>
            <w:webHidden/>
          </w:rPr>
          <w:fldChar w:fldCharType="end"/>
        </w:r>
      </w:hyperlink>
    </w:p>
    <w:p w14:paraId="2021C9C1" w14:textId="77777777" w:rsidR="004B0E92" w:rsidRPr="00473173" w:rsidRDefault="00E87626" w:rsidP="004B0E92">
      <w:pPr>
        <w:pStyle w:val="TOC2"/>
        <w:rPr>
          <w:rFonts w:ascii="Calibri" w:eastAsia="Times New Roman" w:hAnsi="Calibri" w:cs="Times New Roman"/>
          <w:b w:val="0"/>
          <w:bCs w:val="0"/>
          <w:sz w:val="22"/>
          <w:szCs w:val="22"/>
        </w:rPr>
      </w:pPr>
      <w:hyperlink w:anchor="_Toc3354983" w:history="1">
        <w:r w:rsidR="004B0E92" w:rsidRPr="00E605DC">
          <w:rPr>
            <w:rStyle w:val="Hyperlink"/>
          </w:rPr>
          <w:t>Critical Element 5.4 – Monitoring Test Administration for Special Populations</w:t>
        </w:r>
        <w:r w:rsidR="004B0E92">
          <w:rPr>
            <w:webHidden/>
          </w:rPr>
          <w:lastRenderedPageBreak/>
          <w:tab/>
        </w:r>
        <w:r w:rsidR="004B0E92">
          <w:rPr>
            <w:webHidden/>
          </w:rPr>
          <w:fldChar w:fldCharType="begin"/>
        </w:r>
        <w:r w:rsidR="004B0E92">
          <w:rPr>
            <w:webHidden/>
          </w:rPr>
          <w:instrText xml:space="preserve"> PAGEREF _Toc3354983 \h </w:instrText>
        </w:r>
        <w:r w:rsidR="004B0E92">
          <w:rPr>
            <w:webHidden/>
          </w:rPr>
        </w:r>
        <w:r w:rsidR="004B0E92">
          <w:rPr>
            <w:webHidden/>
          </w:rPr>
          <w:fldChar w:fldCharType="separate"/>
        </w:r>
        <w:r w:rsidR="004B0E92">
          <w:rPr>
            <w:webHidden/>
          </w:rPr>
          <w:t>42</w:t>
        </w:r>
        <w:r w:rsidR="004B0E92">
          <w:rPr>
            <w:webHidden/>
          </w:rPr>
          <w:fldChar w:fldCharType="end"/>
        </w:r>
      </w:hyperlink>
    </w:p>
    <w:p w14:paraId="4B45B3CD" w14:textId="77777777" w:rsidR="004B0E92" w:rsidRPr="00473173" w:rsidRDefault="00E87626" w:rsidP="004B0E92">
      <w:pPr>
        <w:pStyle w:val="TOC1"/>
        <w:tabs>
          <w:tab w:val="right" w:leader="dot" w:pos="9350"/>
        </w:tabs>
        <w:rPr>
          <w:rFonts w:ascii="Calibri" w:eastAsia="Times New Roman" w:hAnsi="Calibri"/>
          <w:b w:val="0"/>
          <w:bCs w:val="0"/>
          <w:caps w:val="0"/>
          <w:noProof/>
          <w:sz w:val="22"/>
          <w:szCs w:val="22"/>
        </w:rPr>
      </w:pPr>
      <w:hyperlink w:anchor="_Toc3354984" w:history="1">
        <w:r w:rsidR="004B0E92" w:rsidRPr="00E605DC">
          <w:rPr>
            <w:rStyle w:val="Hyperlink"/>
            <w:noProof/>
          </w:rPr>
          <w:t>SECTION 6: ELP ACHIEVEMENT STANDARDS AND REPORTING</w:t>
        </w:r>
        <w:r w:rsidR="004B0E92">
          <w:rPr>
            <w:noProof/>
            <w:webHidden/>
          </w:rPr>
          <w:tab/>
        </w:r>
        <w:r w:rsidR="004B0E92">
          <w:rPr>
            <w:noProof/>
            <w:webHidden/>
          </w:rPr>
          <w:fldChar w:fldCharType="begin"/>
        </w:r>
        <w:r w:rsidR="004B0E92">
          <w:rPr>
            <w:noProof/>
            <w:webHidden/>
          </w:rPr>
          <w:instrText xml:space="preserve"> PAGEREF _Toc3354984 \h </w:instrText>
        </w:r>
        <w:r w:rsidR="004B0E92">
          <w:rPr>
            <w:noProof/>
            <w:webHidden/>
          </w:rPr>
        </w:r>
        <w:r w:rsidR="004B0E92">
          <w:rPr>
            <w:noProof/>
            <w:webHidden/>
          </w:rPr>
          <w:fldChar w:fldCharType="separate"/>
        </w:r>
        <w:r w:rsidR="004B0E92">
          <w:rPr>
            <w:noProof/>
            <w:webHidden/>
          </w:rPr>
          <w:t>44</w:t>
        </w:r>
        <w:r w:rsidR="004B0E92">
          <w:rPr>
            <w:noProof/>
            <w:webHidden/>
          </w:rPr>
          <w:fldChar w:fldCharType="end"/>
        </w:r>
      </w:hyperlink>
    </w:p>
    <w:p w14:paraId="4C0F8C46" w14:textId="77777777" w:rsidR="004B0E92" w:rsidRPr="00473173" w:rsidRDefault="00E87626" w:rsidP="004B0E92">
      <w:pPr>
        <w:pStyle w:val="TOC2"/>
        <w:rPr>
          <w:rFonts w:ascii="Calibri" w:eastAsia="Times New Roman" w:hAnsi="Calibri" w:cs="Times New Roman"/>
          <w:b w:val="0"/>
          <w:bCs w:val="0"/>
          <w:sz w:val="22"/>
          <w:szCs w:val="22"/>
        </w:rPr>
      </w:pPr>
      <w:hyperlink w:anchor="_Toc3354985" w:history="1">
        <w:r w:rsidR="004B0E92" w:rsidRPr="00E605DC">
          <w:rPr>
            <w:rStyle w:val="Hyperlink"/>
          </w:rPr>
          <w:t>Critical Element 6.1 – State Adoption of ELP Achievement Standards for All Students</w:t>
        </w:r>
        <w:r w:rsidR="004B0E92">
          <w:rPr>
            <w:webHidden/>
          </w:rPr>
          <w:tab/>
        </w:r>
        <w:r w:rsidR="004B0E92">
          <w:rPr>
            <w:webHidden/>
          </w:rPr>
          <w:fldChar w:fldCharType="begin"/>
        </w:r>
        <w:r w:rsidR="004B0E92">
          <w:rPr>
            <w:webHidden/>
          </w:rPr>
          <w:instrText xml:space="preserve"> PAGEREF _Toc3354985 \h </w:instrText>
        </w:r>
        <w:r w:rsidR="004B0E92">
          <w:rPr>
            <w:webHidden/>
          </w:rPr>
        </w:r>
        <w:r w:rsidR="004B0E92">
          <w:rPr>
            <w:webHidden/>
          </w:rPr>
          <w:fldChar w:fldCharType="separate"/>
        </w:r>
        <w:r w:rsidR="004B0E92">
          <w:rPr>
            <w:webHidden/>
          </w:rPr>
          <w:t>44</w:t>
        </w:r>
        <w:r w:rsidR="004B0E92">
          <w:rPr>
            <w:webHidden/>
          </w:rPr>
          <w:fldChar w:fldCharType="end"/>
        </w:r>
      </w:hyperlink>
    </w:p>
    <w:p w14:paraId="0B853A3E" w14:textId="77777777" w:rsidR="004B0E92" w:rsidRPr="00473173" w:rsidRDefault="00E87626" w:rsidP="004B0E92">
      <w:pPr>
        <w:pStyle w:val="TOC2"/>
        <w:rPr>
          <w:rFonts w:ascii="Calibri" w:eastAsia="Times New Roman" w:hAnsi="Calibri" w:cs="Times New Roman"/>
          <w:b w:val="0"/>
          <w:bCs w:val="0"/>
          <w:sz w:val="22"/>
          <w:szCs w:val="22"/>
        </w:rPr>
      </w:pPr>
      <w:hyperlink w:anchor="_Toc3354986" w:history="1">
        <w:r w:rsidR="004B0E92" w:rsidRPr="00E605DC">
          <w:rPr>
            <w:rStyle w:val="Hyperlink"/>
          </w:rPr>
          <w:t>Critical Element 6.2 – ELP Achievement Standards Setting</w:t>
        </w:r>
        <w:r w:rsidR="004B0E92">
          <w:rPr>
            <w:webHidden/>
          </w:rPr>
          <w:tab/>
        </w:r>
        <w:r w:rsidR="004B0E92">
          <w:rPr>
            <w:webHidden/>
          </w:rPr>
          <w:fldChar w:fldCharType="begin"/>
        </w:r>
        <w:r w:rsidR="004B0E92">
          <w:rPr>
            <w:webHidden/>
          </w:rPr>
          <w:instrText xml:space="preserve"> PAGEREF _Toc3354986 \h </w:instrText>
        </w:r>
        <w:r w:rsidR="004B0E92">
          <w:rPr>
            <w:webHidden/>
          </w:rPr>
        </w:r>
        <w:r w:rsidR="004B0E92">
          <w:rPr>
            <w:webHidden/>
          </w:rPr>
          <w:fldChar w:fldCharType="separate"/>
        </w:r>
        <w:r w:rsidR="004B0E92">
          <w:rPr>
            <w:webHidden/>
          </w:rPr>
          <w:t>45</w:t>
        </w:r>
        <w:r w:rsidR="004B0E92">
          <w:rPr>
            <w:webHidden/>
          </w:rPr>
          <w:fldChar w:fldCharType="end"/>
        </w:r>
      </w:hyperlink>
    </w:p>
    <w:p w14:paraId="111803B7" w14:textId="77777777" w:rsidR="004B0E92" w:rsidRPr="00473173" w:rsidRDefault="00E87626" w:rsidP="004B0E92">
      <w:pPr>
        <w:pStyle w:val="TOC2"/>
        <w:rPr>
          <w:rFonts w:ascii="Calibri" w:eastAsia="Times New Roman" w:hAnsi="Calibri" w:cs="Times New Roman"/>
          <w:b w:val="0"/>
          <w:bCs w:val="0"/>
          <w:sz w:val="22"/>
          <w:szCs w:val="22"/>
        </w:rPr>
      </w:pPr>
      <w:hyperlink w:anchor="_Toc3354987" w:history="1">
        <w:r w:rsidR="004B0E92" w:rsidRPr="00E605DC">
          <w:rPr>
            <w:rStyle w:val="Hyperlink"/>
          </w:rPr>
          <w:t>Critical Element 6.3 –Aligned ELP Achievement Standards</w:t>
        </w:r>
        <w:r w:rsidR="004B0E92">
          <w:rPr>
            <w:webHidden/>
          </w:rPr>
          <w:tab/>
        </w:r>
        <w:r w:rsidR="004B0E92">
          <w:rPr>
            <w:webHidden/>
          </w:rPr>
          <w:fldChar w:fldCharType="begin"/>
        </w:r>
        <w:r w:rsidR="004B0E92">
          <w:rPr>
            <w:webHidden/>
          </w:rPr>
          <w:instrText xml:space="preserve"> PAGEREF _Toc3354987 \h </w:instrText>
        </w:r>
        <w:r w:rsidR="004B0E92">
          <w:rPr>
            <w:webHidden/>
          </w:rPr>
        </w:r>
        <w:r w:rsidR="004B0E92">
          <w:rPr>
            <w:webHidden/>
          </w:rPr>
          <w:fldChar w:fldCharType="separate"/>
        </w:r>
        <w:r w:rsidR="004B0E92">
          <w:rPr>
            <w:webHidden/>
          </w:rPr>
          <w:t>47</w:t>
        </w:r>
        <w:r w:rsidR="004B0E92">
          <w:rPr>
            <w:webHidden/>
          </w:rPr>
          <w:fldChar w:fldCharType="end"/>
        </w:r>
      </w:hyperlink>
    </w:p>
    <w:p w14:paraId="615336E1" w14:textId="77777777" w:rsidR="004B0E92" w:rsidRPr="00473173" w:rsidRDefault="00E87626" w:rsidP="004B0E92">
      <w:pPr>
        <w:pStyle w:val="TOC2"/>
        <w:rPr>
          <w:rFonts w:ascii="Calibri" w:eastAsia="Times New Roman" w:hAnsi="Calibri" w:cs="Times New Roman"/>
          <w:b w:val="0"/>
          <w:bCs w:val="0"/>
          <w:sz w:val="22"/>
          <w:szCs w:val="22"/>
        </w:rPr>
      </w:pPr>
      <w:hyperlink w:anchor="_Toc3354988" w:history="1">
        <w:r w:rsidR="004B0E92" w:rsidRPr="00E605DC">
          <w:rPr>
            <w:rStyle w:val="Hyperlink"/>
          </w:rPr>
          <w:t>Critical Element 6.4 – Reporting</w:t>
        </w:r>
        <w:r w:rsidR="004B0E92">
          <w:rPr>
            <w:webHidden/>
          </w:rPr>
          <w:tab/>
        </w:r>
        <w:r w:rsidR="004B0E92">
          <w:rPr>
            <w:webHidden/>
          </w:rPr>
          <w:fldChar w:fldCharType="begin"/>
        </w:r>
        <w:r w:rsidR="004B0E92">
          <w:rPr>
            <w:webHidden/>
          </w:rPr>
          <w:instrText xml:space="preserve"> PAGEREF _Toc3354988 \h </w:instrText>
        </w:r>
        <w:r w:rsidR="004B0E92">
          <w:rPr>
            <w:webHidden/>
          </w:rPr>
        </w:r>
        <w:r w:rsidR="004B0E92">
          <w:rPr>
            <w:webHidden/>
          </w:rPr>
          <w:fldChar w:fldCharType="separate"/>
        </w:r>
        <w:r w:rsidR="004B0E92">
          <w:rPr>
            <w:webHidden/>
          </w:rPr>
          <w:t>48</w:t>
        </w:r>
        <w:r w:rsidR="004B0E92">
          <w:rPr>
            <w:webHidden/>
          </w:rPr>
          <w:fldChar w:fldCharType="end"/>
        </w:r>
      </w:hyperlink>
    </w:p>
    <w:p w14:paraId="506D46CE" w14:textId="77777777" w:rsidR="004B0E92" w:rsidRPr="00473173" w:rsidRDefault="00E87626" w:rsidP="004B0E92">
      <w:pPr>
        <w:pStyle w:val="TOC1"/>
        <w:tabs>
          <w:tab w:val="right" w:leader="dot" w:pos="9350"/>
        </w:tabs>
        <w:rPr>
          <w:rFonts w:ascii="Calibri" w:eastAsia="Times New Roman" w:hAnsi="Calibri"/>
          <w:b w:val="0"/>
          <w:bCs w:val="0"/>
          <w:caps w:val="0"/>
          <w:noProof/>
          <w:sz w:val="22"/>
          <w:szCs w:val="22"/>
        </w:rPr>
      </w:pPr>
      <w:hyperlink w:anchor="_Toc3354989" w:history="1">
        <w:r w:rsidR="004B0E92" w:rsidRPr="00E605DC">
          <w:rPr>
            <w:rStyle w:val="Hyperlink"/>
            <w:noProof/>
          </w:rPr>
          <w:t>SECTION 7: DOES NOT APPLY TO ELP ASSESSMENT PEER REVIEW</w:t>
        </w:r>
        <w:r w:rsidR="004B0E92">
          <w:rPr>
            <w:noProof/>
            <w:webHidden/>
          </w:rPr>
          <w:tab/>
        </w:r>
        <w:r w:rsidR="004B0E92">
          <w:rPr>
            <w:noProof/>
            <w:webHidden/>
          </w:rPr>
          <w:fldChar w:fldCharType="begin"/>
        </w:r>
        <w:r w:rsidR="004B0E92">
          <w:rPr>
            <w:noProof/>
            <w:webHidden/>
          </w:rPr>
          <w:instrText xml:space="preserve"> PAGEREF _Toc3354989 \h </w:instrText>
        </w:r>
        <w:r w:rsidR="004B0E92">
          <w:rPr>
            <w:noProof/>
            <w:webHidden/>
          </w:rPr>
        </w:r>
        <w:r w:rsidR="004B0E92">
          <w:rPr>
            <w:noProof/>
            <w:webHidden/>
          </w:rPr>
          <w:fldChar w:fldCharType="separate"/>
        </w:r>
        <w:r w:rsidR="004B0E92">
          <w:rPr>
            <w:noProof/>
            <w:webHidden/>
          </w:rPr>
          <w:t>49</w:t>
        </w:r>
        <w:r w:rsidR="004B0E92">
          <w:rPr>
            <w:noProof/>
            <w:webHidden/>
          </w:rPr>
          <w:fldChar w:fldCharType="end"/>
        </w:r>
      </w:hyperlink>
    </w:p>
    <w:p w14:paraId="0B422A5A" w14:textId="77777777" w:rsidR="004B0E92" w:rsidRDefault="004B0E92" w:rsidP="004B0E92">
      <w:r>
        <w:rPr>
          <w:b/>
          <w:bCs/>
          <w:noProof/>
        </w:rPr>
        <w:fldChar w:fldCharType="end"/>
      </w:r>
    </w:p>
    <w:p w14:paraId="045F6630" w14:textId="77777777" w:rsidR="004B0E92" w:rsidRPr="00736FD7" w:rsidRDefault="004B0E92" w:rsidP="004B0E92">
      <w:pPr>
        <w:sectPr w:rsidR="004B0E92" w:rsidRPr="00736FD7" w:rsidSect="00BC71BA">
          <w:headerReference w:type="even" r:id="rId24"/>
          <w:headerReference w:type="default" r:id="rId25"/>
          <w:footerReference w:type="default" r:id="rId26"/>
          <w:headerReference w:type="first" r:id="rId27"/>
          <w:footerReference w:type="first" r:id="rId28"/>
          <w:pgSz w:w="12240" w:h="15840" w:code="1"/>
          <w:pgMar w:top="1440" w:right="1440" w:bottom="1440" w:left="1440" w:header="720" w:footer="720" w:gutter="0"/>
          <w:pgNumType w:start="1"/>
          <w:cols w:space="720"/>
          <w:noEndnote/>
          <w:titlePg/>
          <w:docGrid w:linePitch="326"/>
        </w:sectPr>
      </w:pPr>
    </w:p>
    <w:p w14:paraId="5ADFE859" w14:textId="77777777" w:rsidR="004B0E92" w:rsidRPr="008A4204" w:rsidRDefault="004B0E92" w:rsidP="004B0E92">
      <w:pPr>
        <w:pStyle w:val="Heading1"/>
      </w:pPr>
      <w:bookmarkStart w:id="1" w:name="_Toc3354953"/>
      <w:r w:rsidRPr="008A4204">
        <w:lastRenderedPageBreak/>
        <w:t>SECTION 1: STATEWIDE SYST</w:t>
      </w:r>
      <w:bookmarkStart w:id="2" w:name="sectionI"/>
      <w:bookmarkEnd w:id="2"/>
      <w:r w:rsidRPr="008A4204">
        <w:t>EM OF STANDARDS AND ASSESSMENTS</w:t>
      </w:r>
      <w:bookmarkEnd w:id="1"/>
    </w:p>
    <w:p w14:paraId="5AE17EEA" w14:textId="77777777" w:rsidR="004B0E92" w:rsidRDefault="004B0E92" w:rsidP="004B0E92"/>
    <w:p w14:paraId="17CEB605" w14:textId="77777777" w:rsidR="004B0E92" w:rsidRPr="00795E10" w:rsidRDefault="004B0E92" w:rsidP="004B0E92">
      <w:pPr>
        <w:pStyle w:val="Heading2"/>
      </w:pPr>
      <w:bookmarkStart w:id="3" w:name="_Toc3354954"/>
      <w:r w:rsidRPr="00795E10">
        <w:t xml:space="preserve">Critical Element 1.1 – State Adoption of </w:t>
      </w:r>
      <w:r>
        <w:t>ELP</w:t>
      </w:r>
      <w:r w:rsidRPr="00795E10">
        <w:t xml:space="preserve"> Standards for All </w:t>
      </w:r>
      <w:r>
        <w:t>English Learners</w:t>
      </w:r>
      <w:bookmarkEnd w:id="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14:paraId="6239CB0F" w14:textId="77777777" w:rsidTr="00385738">
        <w:trPr>
          <w:tblHeader/>
        </w:trPr>
        <w:tc>
          <w:tcPr>
            <w:tcW w:w="3618" w:type="dxa"/>
            <w:shd w:val="clear" w:color="auto" w:fill="auto"/>
          </w:tcPr>
          <w:p w14:paraId="70299D94" w14:textId="77777777" w:rsidR="004B0E92" w:rsidRPr="00532BBF" w:rsidRDefault="004B0E92" w:rsidP="00385738">
            <w:pPr>
              <w:spacing w:before="80"/>
              <w:rPr>
                <w:b/>
                <w:sz w:val="20"/>
                <w:szCs w:val="20"/>
              </w:rPr>
            </w:pPr>
            <w:r w:rsidRPr="00532BBF">
              <w:rPr>
                <w:b/>
                <w:sz w:val="20"/>
                <w:szCs w:val="20"/>
              </w:rPr>
              <w:t>Critical Element</w:t>
            </w:r>
          </w:p>
        </w:tc>
        <w:tc>
          <w:tcPr>
            <w:tcW w:w="4779" w:type="dxa"/>
            <w:shd w:val="clear" w:color="auto" w:fill="auto"/>
          </w:tcPr>
          <w:p w14:paraId="078F26B6" w14:textId="77777777" w:rsidR="004B0E92" w:rsidRPr="00532BBF" w:rsidRDefault="004B0E92" w:rsidP="00385738">
            <w:pPr>
              <w:rPr>
                <w:b/>
                <w:sz w:val="20"/>
                <w:szCs w:val="20"/>
              </w:rPr>
            </w:pPr>
            <w:r w:rsidRPr="00532BBF">
              <w:rPr>
                <w:b/>
                <w:sz w:val="20"/>
                <w:szCs w:val="20"/>
              </w:rPr>
              <w:t>Evidence (Record document and page # for future reference)</w:t>
            </w:r>
          </w:p>
        </w:tc>
        <w:tc>
          <w:tcPr>
            <w:tcW w:w="5013" w:type="dxa"/>
            <w:shd w:val="clear" w:color="auto" w:fill="auto"/>
          </w:tcPr>
          <w:p w14:paraId="19CCD5FB" w14:textId="77777777" w:rsidR="004B0E92" w:rsidRPr="00532BBF" w:rsidRDefault="004B0E92" w:rsidP="00385738">
            <w:pPr>
              <w:rPr>
                <w:b/>
                <w:sz w:val="20"/>
                <w:szCs w:val="20"/>
              </w:rPr>
            </w:pPr>
            <w:r w:rsidRPr="00532BBF">
              <w:rPr>
                <w:b/>
                <w:sz w:val="20"/>
                <w:szCs w:val="20"/>
              </w:rPr>
              <w:t xml:space="preserve">Comments/Notes/Questions/Suggestions Regarding State Documentation or Evidence </w:t>
            </w:r>
          </w:p>
        </w:tc>
      </w:tr>
      <w:tr w:rsidR="004B0E92" w14:paraId="0B321758" w14:textId="77777777" w:rsidTr="00385738">
        <w:tc>
          <w:tcPr>
            <w:tcW w:w="3618" w:type="dxa"/>
            <w:shd w:val="clear" w:color="auto" w:fill="auto"/>
          </w:tcPr>
          <w:p w14:paraId="5E2FE639" w14:textId="77777777" w:rsidR="004B0E92" w:rsidRPr="00847CA4" w:rsidRDefault="004B0E92" w:rsidP="00385738">
            <w:pPr>
              <w:spacing w:before="80"/>
              <w:rPr>
                <w:b/>
                <w:i/>
                <w:sz w:val="20"/>
              </w:rPr>
            </w:pPr>
            <w:r w:rsidRPr="00847CA4">
              <w:rPr>
                <w:b/>
                <w:i/>
                <w:sz w:val="20"/>
              </w:rPr>
              <w:t>For English language proficiency (ELP) standards:</w:t>
            </w:r>
          </w:p>
          <w:p w14:paraId="6EA0087F" w14:textId="77777777" w:rsidR="004B0E92" w:rsidRPr="004740FD" w:rsidRDefault="004B0E92" w:rsidP="00385738">
            <w:pPr>
              <w:spacing w:before="80"/>
              <w:rPr>
                <w:b/>
                <w:sz w:val="20"/>
              </w:rPr>
            </w:pPr>
            <w:r w:rsidRPr="004740FD">
              <w:rPr>
                <w:sz w:val="20"/>
                <w:szCs w:val="20"/>
              </w:rPr>
              <w:t>The State formally adopted K-12 ELP standards for all ELs in public schools in the State.</w:t>
            </w:r>
          </w:p>
          <w:p w14:paraId="0C72F0A4" w14:textId="77777777" w:rsidR="004B0E92" w:rsidRPr="0077197F" w:rsidRDefault="004B0E92" w:rsidP="00385738">
            <w:pPr>
              <w:spacing w:before="80"/>
              <w:rPr>
                <w:sz w:val="20"/>
                <w:szCs w:val="20"/>
              </w:rPr>
            </w:pPr>
          </w:p>
        </w:tc>
        <w:tc>
          <w:tcPr>
            <w:tcW w:w="4779" w:type="dxa"/>
            <w:shd w:val="clear" w:color="auto" w:fill="auto"/>
          </w:tcPr>
          <w:p w14:paraId="30868AD6" w14:textId="77777777" w:rsidR="004B0E92" w:rsidRDefault="004B0E92" w:rsidP="00385738">
            <w:pPr>
              <w:autoSpaceDE w:val="0"/>
              <w:autoSpaceDN w:val="0"/>
              <w:adjustRightInd w:val="0"/>
              <w:rPr>
                <w:sz w:val="20"/>
                <w:szCs w:val="20"/>
              </w:rPr>
            </w:pPr>
            <w:r>
              <w:rPr>
                <w:sz w:val="20"/>
                <w:szCs w:val="20"/>
              </w:rPr>
              <w:t>MS English Learner Guidelines - Regulations,</w:t>
            </w:r>
          </w:p>
          <w:p w14:paraId="3489039E" w14:textId="77777777" w:rsidR="004B0E92" w:rsidRDefault="004B0E92" w:rsidP="00385738">
            <w:pPr>
              <w:autoSpaceDE w:val="0"/>
              <w:autoSpaceDN w:val="0"/>
              <w:adjustRightInd w:val="0"/>
              <w:rPr>
                <w:sz w:val="20"/>
                <w:szCs w:val="20"/>
              </w:rPr>
            </w:pPr>
            <w:r>
              <w:rPr>
                <w:sz w:val="20"/>
                <w:szCs w:val="20"/>
              </w:rPr>
              <w:t>Funding Guidance, and Instructional Supports -</w:t>
            </w:r>
          </w:p>
          <w:p w14:paraId="075C9001" w14:textId="77777777" w:rsidR="004B0E92" w:rsidRDefault="004B0E92" w:rsidP="00385738">
            <w:pPr>
              <w:autoSpaceDE w:val="0"/>
              <w:autoSpaceDN w:val="0"/>
              <w:adjustRightInd w:val="0"/>
              <w:rPr>
                <w:sz w:val="20"/>
                <w:szCs w:val="20"/>
              </w:rPr>
            </w:pPr>
            <w:r>
              <w:rPr>
                <w:sz w:val="20"/>
                <w:szCs w:val="20"/>
              </w:rPr>
              <w:t>May 2018R, pg. 27</w:t>
            </w:r>
          </w:p>
          <w:p w14:paraId="050D3468" w14:textId="77777777" w:rsidR="004B0E92" w:rsidRDefault="004B0E92" w:rsidP="00385738">
            <w:pPr>
              <w:rPr>
                <w:sz w:val="20"/>
                <w:szCs w:val="20"/>
              </w:rPr>
            </w:pPr>
          </w:p>
          <w:p w14:paraId="66A03C8A" w14:textId="77777777" w:rsidR="004B0E92" w:rsidRDefault="004B0E92" w:rsidP="00385738">
            <w:pPr>
              <w:ind w:left="-14"/>
              <w:rPr>
                <w:sz w:val="20"/>
                <w:szCs w:val="20"/>
              </w:rPr>
            </w:pPr>
            <w:r>
              <w:rPr>
                <w:sz w:val="20"/>
                <w:szCs w:val="20"/>
              </w:rPr>
              <w:t>Mississippi Board of Ed Minutes- June 2015 pg.3</w:t>
            </w:r>
          </w:p>
          <w:p w14:paraId="2C3F7444" w14:textId="77777777" w:rsidR="004B0E92" w:rsidRDefault="004B0E92" w:rsidP="00385738">
            <w:pPr>
              <w:ind w:left="-14"/>
              <w:rPr>
                <w:sz w:val="20"/>
                <w:szCs w:val="20"/>
              </w:rPr>
            </w:pPr>
          </w:p>
          <w:p w14:paraId="195C3164" w14:textId="77777777" w:rsidR="004B0E92" w:rsidRPr="00B65CC5" w:rsidRDefault="004B0E92" w:rsidP="00385738">
            <w:pPr>
              <w:rPr>
                <w:sz w:val="20"/>
                <w:szCs w:val="20"/>
              </w:rPr>
            </w:pPr>
            <w:r w:rsidRPr="00B65CC5">
              <w:rPr>
                <w:sz w:val="20"/>
                <w:szCs w:val="20"/>
              </w:rPr>
              <w:t xml:space="preserve">PreK-12 English Language Proficiency Standards [Augmentation of the World-Class Instructional Design and Assessment (WIDA) Consortium English Language Proficiency Standards] </w:t>
            </w:r>
          </w:p>
          <w:p w14:paraId="00DF9742" w14:textId="77777777" w:rsidR="004B0E92" w:rsidRPr="00B65CC5" w:rsidRDefault="004B0E92" w:rsidP="00385738">
            <w:pPr>
              <w:ind w:left="-14"/>
              <w:rPr>
                <w:sz w:val="20"/>
                <w:szCs w:val="20"/>
              </w:rPr>
            </w:pPr>
          </w:p>
          <w:p w14:paraId="1CBA6EDC" w14:textId="77777777" w:rsidR="004B0E92" w:rsidRDefault="004B0E92" w:rsidP="00385738">
            <w:pPr>
              <w:ind w:left="-14"/>
              <w:rPr>
                <w:sz w:val="20"/>
                <w:szCs w:val="20"/>
              </w:rPr>
            </w:pPr>
            <w:r w:rsidRPr="00B65CC5">
              <w:rPr>
                <w:sz w:val="20"/>
                <w:szCs w:val="20"/>
              </w:rPr>
              <w:t>MDE-OSA Newsletter – February 24, 2016</w:t>
            </w:r>
          </w:p>
          <w:p w14:paraId="373BA406" w14:textId="77777777" w:rsidR="004B0E92" w:rsidRPr="00B65CC5" w:rsidRDefault="004B0E92" w:rsidP="00385738">
            <w:pPr>
              <w:ind w:left="-14"/>
              <w:rPr>
                <w:sz w:val="20"/>
                <w:szCs w:val="20"/>
              </w:rPr>
            </w:pPr>
          </w:p>
          <w:p w14:paraId="06103EB5" w14:textId="77777777" w:rsidR="004B0E92" w:rsidRPr="00B65CC5" w:rsidRDefault="004B0E92" w:rsidP="00385738">
            <w:pPr>
              <w:ind w:left="-14"/>
              <w:rPr>
                <w:sz w:val="20"/>
                <w:szCs w:val="20"/>
              </w:rPr>
            </w:pPr>
            <w:r w:rsidRPr="00B65CC5">
              <w:rPr>
                <w:sz w:val="20"/>
                <w:szCs w:val="20"/>
              </w:rPr>
              <w:t>MDE-OSA Newsletter - Monthly Update March</w:t>
            </w:r>
          </w:p>
          <w:p w14:paraId="38424A52" w14:textId="77777777" w:rsidR="004B0E92" w:rsidRPr="00B65CC5" w:rsidRDefault="004B0E92" w:rsidP="00385738">
            <w:pPr>
              <w:ind w:left="-14"/>
              <w:rPr>
                <w:sz w:val="20"/>
                <w:szCs w:val="20"/>
              </w:rPr>
            </w:pPr>
            <w:r w:rsidRPr="00B65CC5">
              <w:rPr>
                <w:sz w:val="20"/>
                <w:szCs w:val="20"/>
              </w:rPr>
              <w:t xml:space="preserve">2016 </w:t>
            </w:r>
          </w:p>
          <w:p w14:paraId="6229F7D7" w14:textId="77777777" w:rsidR="004B0E92" w:rsidRPr="00B65CC5" w:rsidRDefault="004B0E92" w:rsidP="00385738">
            <w:pPr>
              <w:ind w:left="-14"/>
              <w:rPr>
                <w:sz w:val="20"/>
                <w:szCs w:val="20"/>
              </w:rPr>
            </w:pPr>
          </w:p>
          <w:p w14:paraId="7F15DAF4" w14:textId="77777777" w:rsidR="004B0E92" w:rsidRDefault="004B0E92" w:rsidP="00385738">
            <w:pPr>
              <w:ind w:left="-14"/>
              <w:rPr>
                <w:sz w:val="20"/>
                <w:szCs w:val="20"/>
              </w:rPr>
            </w:pPr>
            <w:r w:rsidRPr="00B65CC5">
              <w:rPr>
                <w:sz w:val="20"/>
                <w:szCs w:val="20"/>
              </w:rPr>
              <w:t xml:space="preserve">LAS Links Notifications (Ongoing) </w:t>
            </w:r>
          </w:p>
          <w:p w14:paraId="047DB968" w14:textId="77777777" w:rsidR="004B0E92" w:rsidRPr="00B65CC5" w:rsidRDefault="004B0E92" w:rsidP="00385738">
            <w:pPr>
              <w:ind w:left="-14"/>
              <w:rPr>
                <w:sz w:val="20"/>
                <w:szCs w:val="20"/>
              </w:rPr>
            </w:pPr>
          </w:p>
          <w:p w14:paraId="663E7A82" w14:textId="77777777" w:rsidR="004B0E92" w:rsidRPr="00B65CC5" w:rsidRDefault="004B0E92" w:rsidP="00385738">
            <w:pPr>
              <w:ind w:left="-14"/>
              <w:rPr>
                <w:sz w:val="20"/>
                <w:szCs w:val="20"/>
              </w:rPr>
            </w:pPr>
            <w:r w:rsidRPr="00B65CC5">
              <w:rPr>
                <w:sz w:val="20"/>
                <w:szCs w:val="20"/>
              </w:rPr>
              <w:t>MS English Learner Guidelines - Regulations,</w:t>
            </w:r>
          </w:p>
          <w:p w14:paraId="05EEC21E" w14:textId="77777777" w:rsidR="004B0E92" w:rsidRPr="00B65CC5" w:rsidRDefault="004B0E92" w:rsidP="00385738">
            <w:pPr>
              <w:ind w:left="-14"/>
              <w:rPr>
                <w:sz w:val="20"/>
                <w:szCs w:val="20"/>
              </w:rPr>
            </w:pPr>
            <w:r w:rsidRPr="00B65CC5">
              <w:rPr>
                <w:sz w:val="20"/>
                <w:szCs w:val="20"/>
              </w:rPr>
              <w:t>Funding Guidance, and Instructional Supports -</w:t>
            </w:r>
          </w:p>
          <w:p w14:paraId="3399BA29" w14:textId="77777777" w:rsidR="004B0E92" w:rsidRDefault="004B0E92" w:rsidP="00385738">
            <w:pPr>
              <w:ind w:left="-14"/>
              <w:rPr>
                <w:sz w:val="20"/>
                <w:szCs w:val="20"/>
              </w:rPr>
            </w:pPr>
            <w:r w:rsidRPr="00B65CC5">
              <w:rPr>
                <w:sz w:val="20"/>
                <w:szCs w:val="20"/>
              </w:rPr>
              <w:t xml:space="preserve">May 2018R, pg. 27 </w:t>
            </w:r>
          </w:p>
          <w:p w14:paraId="2B8798C1" w14:textId="77777777" w:rsidR="004B0E92" w:rsidRPr="00B65CC5" w:rsidRDefault="004B0E92" w:rsidP="00385738">
            <w:pPr>
              <w:ind w:left="-14"/>
              <w:rPr>
                <w:sz w:val="20"/>
                <w:szCs w:val="20"/>
              </w:rPr>
            </w:pPr>
          </w:p>
          <w:p w14:paraId="0BFBE022" w14:textId="77777777" w:rsidR="004B0E92" w:rsidRPr="00B65CC5" w:rsidRDefault="004B0E92" w:rsidP="00385738">
            <w:pPr>
              <w:ind w:left="-14"/>
              <w:rPr>
                <w:sz w:val="20"/>
                <w:szCs w:val="20"/>
              </w:rPr>
            </w:pPr>
            <w:r w:rsidRPr="00B65CC5">
              <w:rPr>
                <w:sz w:val="20"/>
                <w:szCs w:val="20"/>
              </w:rPr>
              <w:t>MS College and Career Readiness Standards for</w:t>
            </w:r>
          </w:p>
          <w:p w14:paraId="58D23EC8" w14:textId="77777777" w:rsidR="004B0E92" w:rsidRPr="0077197F" w:rsidRDefault="004B0E92" w:rsidP="00385738">
            <w:pPr>
              <w:ind w:left="-14"/>
              <w:rPr>
                <w:sz w:val="20"/>
                <w:szCs w:val="20"/>
              </w:rPr>
            </w:pPr>
            <w:r w:rsidRPr="00B65CC5">
              <w:rPr>
                <w:sz w:val="20"/>
                <w:szCs w:val="20"/>
              </w:rPr>
              <w:t xml:space="preserve">English Language Arts, 2016, pgs. 10-11 </w:t>
            </w:r>
          </w:p>
        </w:tc>
        <w:tc>
          <w:tcPr>
            <w:tcW w:w="5013" w:type="dxa"/>
            <w:shd w:val="clear" w:color="auto" w:fill="auto"/>
          </w:tcPr>
          <w:p w14:paraId="14BF74F9" w14:textId="77777777" w:rsidR="004B0E92" w:rsidRDefault="004B0E92" w:rsidP="00385738">
            <w:pPr>
              <w:autoSpaceDE w:val="0"/>
              <w:autoSpaceDN w:val="0"/>
              <w:adjustRightInd w:val="0"/>
              <w:rPr>
                <w:sz w:val="20"/>
                <w:szCs w:val="20"/>
              </w:rPr>
            </w:pPr>
            <w:r>
              <w:rPr>
                <w:sz w:val="20"/>
                <w:szCs w:val="20"/>
              </w:rPr>
              <w:t>Mississippi Board of Ed Minutes- June 2015 pg.3- provides a discussion of contracting with DRC, but no evidence of formal adoption of ELP standards could be found in this or other documents submitted by the state.</w:t>
            </w:r>
          </w:p>
          <w:p w14:paraId="0FF720AB" w14:textId="77777777" w:rsidR="004B0E92" w:rsidRDefault="004B0E92" w:rsidP="00385738">
            <w:pPr>
              <w:autoSpaceDE w:val="0"/>
              <w:autoSpaceDN w:val="0"/>
              <w:adjustRightInd w:val="0"/>
              <w:rPr>
                <w:sz w:val="20"/>
                <w:szCs w:val="20"/>
              </w:rPr>
            </w:pPr>
          </w:p>
          <w:p w14:paraId="16ACFA0B" w14:textId="77777777" w:rsidR="004B0E92" w:rsidRDefault="004B0E92" w:rsidP="00385738">
            <w:pPr>
              <w:autoSpaceDE w:val="0"/>
              <w:autoSpaceDN w:val="0"/>
              <w:adjustRightInd w:val="0"/>
              <w:rPr>
                <w:sz w:val="20"/>
                <w:szCs w:val="20"/>
              </w:rPr>
            </w:pPr>
            <w:r>
              <w:rPr>
                <w:sz w:val="20"/>
                <w:szCs w:val="20"/>
              </w:rPr>
              <w:t xml:space="preserve">Documents provided appear to only reference LAS links and use of TESOL standards.  </w:t>
            </w:r>
          </w:p>
          <w:p w14:paraId="05013B23" w14:textId="77777777" w:rsidR="004B0E92" w:rsidRDefault="004B0E92" w:rsidP="00385738">
            <w:pPr>
              <w:autoSpaceDE w:val="0"/>
              <w:autoSpaceDN w:val="0"/>
              <w:adjustRightInd w:val="0"/>
              <w:rPr>
                <w:sz w:val="20"/>
                <w:szCs w:val="20"/>
              </w:rPr>
            </w:pPr>
          </w:p>
          <w:p w14:paraId="1B46579A" w14:textId="77777777" w:rsidR="004B0E92" w:rsidRDefault="004B0E92" w:rsidP="00385738">
            <w:pPr>
              <w:autoSpaceDE w:val="0"/>
              <w:autoSpaceDN w:val="0"/>
              <w:adjustRightInd w:val="0"/>
              <w:rPr>
                <w:sz w:val="20"/>
                <w:szCs w:val="20"/>
              </w:rPr>
            </w:pPr>
          </w:p>
          <w:p w14:paraId="749B7706" w14:textId="77777777" w:rsidR="004B0E92" w:rsidRPr="0077197F" w:rsidRDefault="004B0E92" w:rsidP="00385738">
            <w:pPr>
              <w:autoSpaceDE w:val="0"/>
              <w:autoSpaceDN w:val="0"/>
              <w:adjustRightInd w:val="0"/>
              <w:rPr>
                <w:sz w:val="20"/>
                <w:szCs w:val="20"/>
              </w:rPr>
            </w:pPr>
          </w:p>
        </w:tc>
      </w:tr>
      <w:tr w:rsidR="004B0E92" w:rsidRPr="00532BBF" w14:paraId="3C1B8F57" w14:textId="77777777" w:rsidTr="00385738">
        <w:tc>
          <w:tcPr>
            <w:tcW w:w="13410" w:type="dxa"/>
            <w:gridSpan w:val="3"/>
            <w:shd w:val="clear" w:color="auto" w:fill="auto"/>
          </w:tcPr>
          <w:p w14:paraId="1BB64FAE" w14:textId="77777777" w:rsidR="004B0E92" w:rsidRPr="00532BBF" w:rsidRDefault="004B0E92" w:rsidP="00385738">
            <w:pPr>
              <w:pStyle w:val="Heading4"/>
            </w:pPr>
            <w:r w:rsidRPr="00532BBF">
              <w:t>Section 1.1 Summary Statement</w:t>
            </w:r>
          </w:p>
        </w:tc>
      </w:tr>
      <w:tr w:rsidR="004B0E92" w:rsidRPr="00532BBF" w14:paraId="513A64E7" w14:textId="77777777" w:rsidTr="00385738">
        <w:tc>
          <w:tcPr>
            <w:tcW w:w="13410" w:type="dxa"/>
            <w:gridSpan w:val="3"/>
            <w:shd w:val="clear" w:color="auto" w:fill="auto"/>
          </w:tcPr>
          <w:p w14:paraId="0856E13D" w14:textId="77777777" w:rsidR="004B0E92" w:rsidRPr="00532BBF" w:rsidRDefault="004B0E92" w:rsidP="00385738">
            <w:pPr>
              <w:rPr>
                <w:sz w:val="20"/>
                <w:szCs w:val="20"/>
              </w:rPr>
            </w:pPr>
            <w:r w:rsidRPr="00532BBF">
              <w:rPr>
                <w:sz w:val="20"/>
                <w:szCs w:val="20"/>
              </w:rPr>
              <w:t>___ No additional evidence is required or</w:t>
            </w:r>
          </w:p>
          <w:p w14:paraId="080B9277" w14:textId="77777777" w:rsidR="004B0E92" w:rsidRPr="00532BBF" w:rsidRDefault="004B0E92" w:rsidP="00385738">
            <w:pPr>
              <w:rPr>
                <w:sz w:val="20"/>
                <w:szCs w:val="20"/>
              </w:rPr>
            </w:pPr>
          </w:p>
          <w:p w14:paraId="3EFEA6A3" w14:textId="77777777" w:rsidR="004B0E92" w:rsidRPr="00532BBF" w:rsidRDefault="004B0E9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4A4B9906" w14:textId="77777777" w:rsidR="004B0E92" w:rsidRPr="00532BBF" w:rsidRDefault="004B0E92" w:rsidP="008D31CB">
            <w:pPr>
              <w:pStyle w:val="ListParagraph"/>
              <w:numPr>
                <w:ilvl w:val="0"/>
                <w:numId w:val="28"/>
              </w:numPr>
              <w:spacing w:before="80"/>
              <w:ind w:left="157" w:hanging="180"/>
              <w:rPr>
                <w:sz w:val="20"/>
                <w:szCs w:val="20"/>
              </w:rPr>
            </w:pPr>
            <w:r w:rsidRPr="009E2627">
              <w:rPr>
                <w:sz w:val="20"/>
                <w:szCs w:val="20"/>
              </w:rPr>
              <w:t>Evidence that the State formally adopted K-12 ELP standards for all ELs</w:t>
            </w:r>
            <w:r>
              <w:rPr>
                <w:sz w:val="20"/>
                <w:szCs w:val="20"/>
              </w:rPr>
              <w:t xml:space="preserve"> in public schools in the State</w:t>
            </w:r>
          </w:p>
        </w:tc>
      </w:tr>
    </w:tbl>
    <w:p w14:paraId="483DD712" w14:textId="77777777" w:rsidR="004B0E92" w:rsidRPr="000658B0" w:rsidRDefault="004B0E92" w:rsidP="004B0E92">
      <w:pPr>
        <w:rPr>
          <w:sz w:val="20"/>
          <w:szCs w:val="20"/>
        </w:rPr>
      </w:pPr>
    </w:p>
    <w:p w14:paraId="0770AFA0" w14:textId="77777777" w:rsidR="004B0E92" w:rsidRDefault="004B0E92" w:rsidP="004B0E92">
      <w:pPr>
        <w:pStyle w:val="Heading2"/>
      </w:pPr>
      <w:r>
        <w:br w:type="page"/>
      </w:r>
      <w:bookmarkStart w:id="4" w:name="_Toc3354955"/>
      <w:r w:rsidRPr="008D7D24">
        <w:lastRenderedPageBreak/>
        <w:t xml:space="preserve">Critical Element 1.2 – </w:t>
      </w:r>
      <w:r w:rsidRPr="00E40AD6">
        <w:t>Coherent and Progressive ELP Standards that Correspond to the State’s Academic Content Standards</w:t>
      </w:r>
      <w:bookmarkEnd w:id="4"/>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14:paraId="1461867C" w14:textId="77777777" w:rsidTr="00385738">
        <w:trPr>
          <w:tblHeader/>
        </w:trPr>
        <w:tc>
          <w:tcPr>
            <w:tcW w:w="3618" w:type="dxa"/>
            <w:shd w:val="clear" w:color="auto" w:fill="auto"/>
          </w:tcPr>
          <w:p w14:paraId="090E37B0" w14:textId="77777777" w:rsidR="004B0E92" w:rsidRPr="00532BBF" w:rsidRDefault="004B0E92" w:rsidP="00385738">
            <w:pPr>
              <w:spacing w:before="80"/>
              <w:rPr>
                <w:b/>
                <w:sz w:val="20"/>
                <w:szCs w:val="20"/>
              </w:rPr>
            </w:pPr>
            <w:r w:rsidRPr="00532BBF">
              <w:rPr>
                <w:b/>
                <w:sz w:val="20"/>
                <w:szCs w:val="20"/>
              </w:rPr>
              <w:t>Critical Element</w:t>
            </w:r>
          </w:p>
        </w:tc>
        <w:tc>
          <w:tcPr>
            <w:tcW w:w="4779" w:type="dxa"/>
            <w:shd w:val="clear" w:color="auto" w:fill="auto"/>
          </w:tcPr>
          <w:p w14:paraId="017B1503" w14:textId="77777777" w:rsidR="004B0E92" w:rsidRPr="00532BBF" w:rsidRDefault="004B0E92" w:rsidP="00385738">
            <w:pPr>
              <w:rPr>
                <w:b/>
                <w:sz w:val="20"/>
                <w:szCs w:val="20"/>
              </w:rPr>
            </w:pPr>
            <w:r w:rsidRPr="00532BBF">
              <w:rPr>
                <w:b/>
                <w:sz w:val="20"/>
                <w:szCs w:val="20"/>
              </w:rPr>
              <w:t>Evidence (Record document and page # for future reference)</w:t>
            </w:r>
          </w:p>
        </w:tc>
        <w:tc>
          <w:tcPr>
            <w:tcW w:w="5013" w:type="dxa"/>
            <w:shd w:val="clear" w:color="auto" w:fill="auto"/>
          </w:tcPr>
          <w:p w14:paraId="69E1BECC" w14:textId="77777777" w:rsidR="004B0E92" w:rsidRPr="00532BBF" w:rsidRDefault="004B0E92" w:rsidP="00385738">
            <w:pPr>
              <w:rPr>
                <w:b/>
                <w:sz w:val="20"/>
                <w:szCs w:val="20"/>
              </w:rPr>
            </w:pPr>
            <w:r w:rsidRPr="00532BBF">
              <w:rPr>
                <w:b/>
                <w:sz w:val="20"/>
                <w:szCs w:val="20"/>
              </w:rPr>
              <w:t xml:space="preserve">Comments/Notes/Questions/Suggestions Regarding State Documentation or Evidence </w:t>
            </w:r>
          </w:p>
        </w:tc>
      </w:tr>
      <w:tr w:rsidR="004B0E92" w14:paraId="39DD480E" w14:textId="77777777" w:rsidTr="00385738">
        <w:tc>
          <w:tcPr>
            <w:tcW w:w="3618" w:type="dxa"/>
            <w:shd w:val="clear" w:color="auto" w:fill="auto"/>
          </w:tcPr>
          <w:p w14:paraId="7C70F0F9" w14:textId="77777777" w:rsidR="004B0E92" w:rsidRPr="002313D0" w:rsidRDefault="004B0E92" w:rsidP="00385738">
            <w:pPr>
              <w:rPr>
                <w:b/>
                <w:i/>
                <w:sz w:val="20"/>
              </w:rPr>
            </w:pPr>
            <w:r w:rsidRPr="002313D0">
              <w:rPr>
                <w:b/>
                <w:i/>
                <w:sz w:val="20"/>
              </w:rPr>
              <w:t>For ELP standards:</w:t>
            </w:r>
          </w:p>
          <w:p w14:paraId="13D98DED" w14:textId="77777777" w:rsidR="004B0E92" w:rsidRPr="002313D0" w:rsidRDefault="004B0E92" w:rsidP="00385738">
            <w:pPr>
              <w:rPr>
                <w:sz w:val="20"/>
                <w:szCs w:val="20"/>
              </w:rPr>
            </w:pPr>
            <w:r w:rsidRPr="002313D0">
              <w:rPr>
                <w:sz w:val="20"/>
                <w:szCs w:val="20"/>
              </w:rPr>
              <w:t>The ELP standards:</w:t>
            </w:r>
          </w:p>
          <w:p w14:paraId="1C266E2E" w14:textId="77777777" w:rsidR="004B0E92" w:rsidRPr="00B65CC5" w:rsidRDefault="004B0E92" w:rsidP="008D31CB">
            <w:pPr>
              <w:numPr>
                <w:ilvl w:val="0"/>
                <w:numId w:val="26"/>
              </w:numPr>
              <w:ind w:left="778"/>
              <w:rPr>
                <w:sz w:val="20"/>
                <w:szCs w:val="20"/>
              </w:rPr>
            </w:pPr>
            <w:r w:rsidRPr="00B65CC5">
              <w:rPr>
                <w:sz w:val="20"/>
                <w:szCs w:val="20"/>
              </w:rPr>
              <w:t xml:space="preserve">are derived from the four domains of speaking, listening, reading, and writing; </w:t>
            </w:r>
          </w:p>
          <w:p w14:paraId="095D8D37" w14:textId="77777777" w:rsidR="004B0E92" w:rsidRPr="00B65CC5" w:rsidRDefault="004B0E92" w:rsidP="008D31CB">
            <w:pPr>
              <w:numPr>
                <w:ilvl w:val="0"/>
                <w:numId w:val="26"/>
              </w:numPr>
              <w:ind w:left="778"/>
              <w:rPr>
                <w:sz w:val="20"/>
                <w:szCs w:val="20"/>
              </w:rPr>
            </w:pPr>
            <w:r w:rsidRPr="00B65CC5">
              <w:rPr>
                <w:sz w:val="20"/>
                <w:szCs w:val="20"/>
              </w:rPr>
              <w:t xml:space="preserve">address the different proficiency levels of ELs; and </w:t>
            </w:r>
          </w:p>
          <w:p w14:paraId="64FF3ACA" w14:textId="77777777" w:rsidR="004B0E92" w:rsidRPr="0077197F" w:rsidRDefault="004B0E92" w:rsidP="008D31CB">
            <w:pPr>
              <w:numPr>
                <w:ilvl w:val="0"/>
                <w:numId w:val="26"/>
              </w:numPr>
              <w:rPr>
                <w:sz w:val="20"/>
                <w:szCs w:val="20"/>
              </w:rPr>
            </w:pPr>
            <w:r w:rsidRPr="00B65CC5" w:rsidDel="00330C77">
              <w:rPr>
                <w:sz w:val="20"/>
                <w:szCs w:val="20"/>
              </w:rPr>
              <w:t>align</w:t>
            </w:r>
            <w:r w:rsidRPr="00B65CC5">
              <w:rPr>
                <w:sz w:val="20"/>
                <w:szCs w:val="20"/>
              </w:rPr>
              <w:t xml:space="preserve"> to the State academic content standards (see definition</w:t>
            </w:r>
            <w:r w:rsidRPr="00B65CC5">
              <w:rPr>
                <w:rStyle w:val="FootnoteReference"/>
                <w:sz w:val="20"/>
                <w:szCs w:val="20"/>
              </w:rPr>
              <w:footnoteReference w:id="1"/>
            </w:r>
            <w:r w:rsidRPr="00B65CC5">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2E7F3FFC"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Linkage and Alignment Study - MCCRS and</w:t>
            </w:r>
          </w:p>
          <w:p w14:paraId="62C66FE6"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WIDA ELD Standards 2017</w:t>
            </w:r>
          </w:p>
          <w:p w14:paraId="71BFC416" w14:textId="77777777" w:rsidR="004B0E92" w:rsidRDefault="004B0E92" w:rsidP="00385738">
            <w:pPr>
              <w:autoSpaceDE w:val="0"/>
              <w:autoSpaceDN w:val="0"/>
              <w:adjustRightInd w:val="0"/>
              <w:rPr>
                <w:rFonts w:eastAsia="Wingdings-Regular"/>
                <w:sz w:val="20"/>
                <w:szCs w:val="20"/>
              </w:rPr>
            </w:pPr>
          </w:p>
          <w:p w14:paraId="64D271A8"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LAS Links Alignment to the WIDA Standards -</w:t>
            </w:r>
          </w:p>
          <w:p w14:paraId="785F28FF"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 xml:space="preserve">Sept 2013 </w:t>
            </w:r>
          </w:p>
          <w:p w14:paraId="75B4BF36" w14:textId="77777777" w:rsidR="004B0E92" w:rsidRDefault="004B0E92" w:rsidP="00385738">
            <w:pPr>
              <w:autoSpaceDE w:val="0"/>
              <w:autoSpaceDN w:val="0"/>
              <w:adjustRightInd w:val="0"/>
              <w:rPr>
                <w:rFonts w:eastAsia="Wingdings-Regular"/>
                <w:sz w:val="20"/>
                <w:szCs w:val="20"/>
              </w:rPr>
            </w:pPr>
          </w:p>
          <w:p w14:paraId="32186F22"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Alignment Study - LAS Links to ELPA21</w:t>
            </w:r>
          </w:p>
          <w:p w14:paraId="6E6C3035"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Standards</w:t>
            </w:r>
          </w:p>
          <w:p w14:paraId="47825EAF" w14:textId="77777777" w:rsidR="004B0E92" w:rsidRDefault="004B0E92" w:rsidP="00385738">
            <w:pPr>
              <w:autoSpaceDE w:val="0"/>
              <w:autoSpaceDN w:val="0"/>
              <w:adjustRightInd w:val="0"/>
              <w:rPr>
                <w:rFonts w:eastAsia="Wingdings-Regular"/>
                <w:sz w:val="20"/>
                <w:szCs w:val="20"/>
              </w:rPr>
            </w:pPr>
          </w:p>
          <w:p w14:paraId="6F773C1C"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TESOL ELD Standards Alignment To LAS Links</w:t>
            </w:r>
          </w:p>
          <w:p w14:paraId="4C49E486" w14:textId="77777777" w:rsidR="004B0E92" w:rsidRDefault="004B0E92" w:rsidP="00385738">
            <w:pPr>
              <w:pStyle w:val="ListParagraph"/>
              <w:ind w:left="0"/>
              <w:rPr>
                <w:rFonts w:eastAsia="Wingdings-Regular"/>
                <w:sz w:val="20"/>
                <w:szCs w:val="20"/>
              </w:rPr>
            </w:pPr>
            <w:r>
              <w:rPr>
                <w:rFonts w:eastAsia="Wingdings-Regular"/>
                <w:sz w:val="20"/>
                <w:szCs w:val="20"/>
              </w:rPr>
              <w:t xml:space="preserve">Assessment Forms C and D </w:t>
            </w:r>
          </w:p>
          <w:p w14:paraId="49D0C750" w14:textId="77777777" w:rsidR="004B0E92" w:rsidRDefault="004B0E92" w:rsidP="00385738">
            <w:pPr>
              <w:pStyle w:val="ListParagraph"/>
              <w:ind w:left="0"/>
              <w:rPr>
                <w:rFonts w:eastAsia="Wingdings-Regular"/>
                <w:sz w:val="20"/>
                <w:szCs w:val="20"/>
              </w:rPr>
            </w:pPr>
          </w:p>
          <w:p w14:paraId="697B31B6"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These documents were not cited, but provide additional evidence for this Critical Element:</w:t>
            </w:r>
          </w:p>
          <w:p w14:paraId="362EF14E" w14:textId="77777777" w:rsidR="004B0E92" w:rsidRDefault="004B0E92" w:rsidP="00385738">
            <w:pPr>
              <w:autoSpaceDE w:val="0"/>
              <w:autoSpaceDN w:val="0"/>
              <w:adjustRightInd w:val="0"/>
              <w:rPr>
                <w:rFonts w:eastAsia="Wingdings-Regular"/>
                <w:sz w:val="20"/>
                <w:szCs w:val="20"/>
              </w:rPr>
            </w:pPr>
          </w:p>
          <w:p w14:paraId="41EBFD2D" w14:textId="77777777" w:rsidR="004B0E92" w:rsidRPr="00B65CC5" w:rsidRDefault="004B0E92" w:rsidP="00385738">
            <w:pPr>
              <w:autoSpaceDE w:val="0"/>
              <w:autoSpaceDN w:val="0"/>
              <w:adjustRightInd w:val="0"/>
              <w:rPr>
                <w:sz w:val="20"/>
                <w:szCs w:val="20"/>
              </w:rPr>
            </w:pPr>
            <w:r w:rsidRPr="00B65CC5">
              <w:rPr>
                <w:sz w:val="20"/>
                <w:szCs w:val="20"/>
              </w:rPr>
              <w:t>PreK-12 English Language Proficiency Standards</w:t>
            </w:r>
          </w:p>
          <w:p w14:paraId="155C77E6" w14:textId="77777777" w:rsidR="004B0E92" w:rsidRDefault="004B0E92" w:rsidP="00385738">
            <w:pPr>
              <w:rPr>
                <w:sz w:val="20"/>
                <w:szCs w:val="20"/>
              </w:rPr>
            </w:pPr>
            <w:r w:rsidRPr="00B65CC5">
              <w:rPr>
                <w:sz w:val="20"/>
                <w:szCs w:val="20"/>
              </w:rPr>
              <w:t>p. 29 (PDF p. 31)</w:t>
            </w:r>
          </w:p>
          <w:p w14:paraId="17707026" w14:textId="77777777" w:rsidR="004B0E92" w:rsidRPr="00B65CC5" w:rsidRDefault="004B0E92" w:rsidP="00385738">
            <w:pPr>
              <w:rPr>
                <w:sz w:val="20"/>
                <w:szCs w:val="20"/>
              </w:rPr>
            </w:pPr>
          </w:p>
          <w:p w14:paraId="4F8B211E" w14:textId="77777777" w:rsidR="004B0E92" w:rsidRPr="00B65CC5" w:rsidRDefault="004B0E92" w:rsidP="00385738">
            <w:pPr>
              <w:autoSpaceDE w:val="0"/>
              <w:autoSpaceDN w:val="0"/>
              <w:adjustRightInd w:val="0"/>
              <w:rPr>
                <w:sz w:val="20"/>
                <w:szCs w:val="20"/>
              </w:rPr>
            </w:pPr>
            <w:r w:rsidRPr="00B65CC5">
              <w:rPr>
                <w:sz w:val="20"/>
                <w:szCs w:val="20"/>
              </w:rPr>
              <w:t>MS College and Career Readiness Standards for</w:t>
            </w:r>
          </w:p>
          <w:p w14:paraId="27826865" w14:textId="77777777" w:rsidR="004B0E92" w:rsidRPr="0077197F" w:rsidRDefault="004B0E92" w:rsidP="00385738">
            <w:pPr>
              <w:pStyle w:val="ListParagraph"/>
              <w:ind w:left="0"/>
              <w:rPr>
                <w:sz w:val="20"/>
                <w:szCs w:val="20"/>
              </w:rPr>
            </w:pPr>
            <w:r w:rsidRPr="00B65CC5">
              <w:rPr>
                <w:sz w:val="20"/>
                <w:szCs w:val="20"/>
              </w:rPr>
              <w:t>English Language Arts, 2016, pgs. 10-11</w:t>
            </w:r>
          </w:p>
        </w:tc>
        <w:tc>
          <w:tcPr>
            <w:tcW w:w="5013" w:type="dxa"/>
            <w:shd w:val="clear" w:color="auto" w:fill="auto"/>
          </w:tcPr>
          <w:p w14:paraId="50EBC521" w14:textId="77777777" w:rsidR="004B0E92" w:rsidRPr="00B65CC5" w:rsidRDefault="004B0E92" w:rsidP="00385738">
            <w:pPr>
              <w:rPr>
                <w:sz w:val="20"/>
                <w:szCs w:val="20"/>
              </w:rPr>
            </w:pPr>
            <w:r w:rsidRPr="00B65CC5">
              <w:rPr>
                <w:sz w:val="20"/>
                <w:szCs w:val="20"/>
              </w:rPr>
              <w:t xml:space="preserve">TESOL standards provide 5 proficiency levels and 4 domains of reading, speaking, listening, and writing, with reference to the language of language arts, mathematics, science, and social studies. </w:t>
            </w:r>
          </w:p>
          <w:p w14:paraId="7FF6660A" w14:textId="77777777" w:rsidR="004B0E92" w:rsidRPr="00B65CC5" w:rsidRDefault="004B0E92" w:rsidP="00385738">
            <w:pPr>
              <w:rPr>
                <w:sz w:val="20"/>
                <w:szCs w:val="20"/>
              </w:rPr>
            </w:pPr>
          </w:p>
          <w:p w14:paraId="2AB592C8" w14:textId="77777777" w:rsidR="004B0E92" w:rsidRDefault="004B0E92" w:rsidP="00385738">
            <w:pPr>
              <w:pStyle w:val="ListParagraph"/>
              <w:ind w:left="0"/>
              <w:rPr>
                <w:sz w:val="20"/>
                <w:szCs w:val="20"/>
              </w:rPr>
            </w:pPr>
            <w:r w:rsidRPr="00B65CC5">
              <w:rPr>
                <w:sz w:val="20"/>
                <w:szCs w:val="20"/>
              </w:rPr>
              <w:t xml:space="preserve">Evidence is needed to demonstrate alignment of proficiency expectations for TESOL standards (2006) with MS CCRS (2016) for each grade/grade band. (The evidence provided in documents 1-4 pointed to alignment of </w:t>
            </w:r>
            <w:r w:rsidRPr="00C84C25">
              <w:rPr>
                <w:sz w:val="20"/>
                <w:szCs w:val="20"/>
              </w:rPr>
              <w:t>assessment items</w:t>
            </w:r>
            <w:r w:rsidRPr="00B65CC5">
              <w:rPr>
                <w:sz w:val="20"/>
                <w:szCs w:val="20"/>
              </w:rPr>
              <w:t xml:space="preserve"> to other standards – newer WIDA, ELPA21.)</w:t>
            </w:r>
          </w:p>
          <w:p w14:paraId="12CCD3F5" w14:textId="77777777" w:rsidR="004B0E92" w:rsidRDefault="004B0E92" w:rsidP="00385738">
            <w:pPr>
              <w:pStyle w:val="ListParagraph"/>
              <w:ind w:left="0"/>
              <w:rPr>
                <w:sz w:val="20"/>
                <w:szCs w:val="20"/>
              </w:rPr>
            </w:pPr>
          </w:p>
          <w:p w14:paraId="56EC148D" w14:textId="77777777" w:rsidR="004B0E92" w:rsidRPr="00686A51" w:rsidRDefault="004B0E92" w:rsidP="00385738">
            <w:pPr>
              <w:pStyle w:val="ListParagraph"/>
              <w:ind w:left="0"/>
              <w:rPr>
                <w:sz w:val="20"/>
                <w:szCs w:val="20"/>
              </w:rPr>
            </w:pPr>
          </w:p>
        </w:tc>
      </w:tr>
      <w:tr w:rsidR="004B0E92" w:rsidRPr="00532BBF" w14:paraId="2A0B8351" w14:textId="77777777" w:rsidTr="00385738">
        <w:tc>
          <w:tcPr>
            <w:tcW w:w="13410" w:type="dxa"/>
            <w:gridSpan w:val="3"/>
            <w:shd w:val="clear" w:color="auto" w:fill="auto"/>
          </w:tcPr>
          <w:p w14:paraId="79220AF6" w14:textId="77777777" w:rsidR="004B0E92" w:rsidRPr="00532BBF" w:rsidRDefault="004B0E92" w:rsidP="00385738">
            <w:pPr>
              <w:pStyle w:val="Heading4"/>
            </w:pPr>
            <w:r>
              <w:t>Section 1.2</w:t>
            </w:r>
            <w:r w:rsidRPr="00532BBF">
              <w:t xml:space="preserve"> Summary Statement</w:t>
            </w:r>
          </w:p>
        </w:tc>
      </w:tr>
      <w:tr w:rsidR="004B0E92" w:rsidRPr="00532BBF" w14:paraId="0FE6E823" w14:textId="77777777" w:rsidTr="00385738">
        <w:tc>
          <w:tcPr>
            <w:tcW w:w="13410" w:type="dxa"/>
            <w:gridSpan w:val="3"/>
            <w:shd w:val="clear" w:color="auto" w:fill="auto"/>
          </w:tcPr>
          <w:p w14:paraId="16B98F53" w14:textId="77777777" w:rsidR="004B0E92" w:rsidRPr="00532BBF" w:rsidRDefault="004B0E92" w:rsidP="00385738">
            <w:pPr>
              <w:rPr>
                <w:sz w:val="20"/>
                <w:szCs w:val="20"/>
              </w:rPr>
            </w:pPr>
            <w:r w:rsidRPr="00532BBF">
              <w:rPr>
                <w:sz w:val="20"/>
                <w:szCs w:val="20"/>
              </w:rPr>
              <w:t>___ No additional evidence is required or</w:t>
            </w:r>
          </w:p>
          <w:p w14:paraId="67BC0EE9" w14:textId="77777777" w:rsidR="004B0E92" w:rsidRPr="00532BBF" w:rsidRDefault="004B0E92" w:rsidP="00385738">
            <w:pPr>
              <w:rPr>
                <w:sz w:val="20"/>
                <w:szCs w:val="20"/>
              </w:rPr>
            </w:pPr>
          </w:p>
          <w:p w14:paraId="3494DD7B" w14:textId="77777777" w:rsidR="004B0E92" w:rsidRPr="00532BBF" w:rsidRDefault="004B0E9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4E01938C" w14:textId="77777777" w:rsidR="004B0E92" w:rsidRDefault="004B0E92" w:rsidP="008D31CB">
            <w:pPr>
              <w:pStyle w:val="ListParagraph"/>
              <w:numPr>
                <w:ilvl w:val="0"/>
                <w:numId w:val="27"/>
              </w:numPr>
              <w:ind w:left="247" w:hanging="247"/>
              <w:rPr>
                <w:sz w:val="20"/>
                <w:szCs w:val="20"/>
              </w:rPr>
            </w:pPr>
            <w:r>
              <w:rPr>
                <w:sz w:val="20"/>
                <w:szCs w:val="20"/>
              </w:rPr>
              <w:t xml:space="preserve">Evidence </w:t>
            </w:r>
            <w:r w:rsidRPr="00B65CC5">
              <w:rPr>
                <w:sz w:val="20"/>
                <w:szCs w:val="20"/>
              </w:rPr>
              <w:t xml:space="preserve">that demonstrates ELP standards </w:t>
            </w:r>
            <w:r w:rsidRPr="00B65CC5" w:rsidDel="00330C77">
              <w:rPr>
                <w:sz w:val="20"/>
                <w:szCs w:val="20"/>
              </w:rPr>
              <w:t>align</w:t>
            </w:r>
            <w:r w:rsidRPr="00B65CC5">
              <w:rPr>
                <w:sz w:val="20"/>
                <w:szCs w:val="20"/>
              </w:rPr>
              <w:t xml:space="preserve"> to the State academic content standards in reading/language </w:t>
            </w:r>
            <w:r>
              <w:rPr>
                <w:sz w:val="20"/>
                <w:szCs w:val="20"/>
              </w:rPr>
              <w:t>arts, mathematics, and science</w:t>
            </w:r>
          </w:p>
          <w:p w14:paraId="2D862FDC" w14:textId="77777777" w:rsidR="004B0E92" w:rsidRPr="00B65CC5" w:rsidRDefault="004B0E92" w:rsidP="008D31CB">
            <w:pPr>
              <w:pStyle w:val="ListParagraph"/>
              <w:numPr>
                <w:ilvl w:val="0"/>
                <w:numId w:val="27"/>
              </w:numPr>
              <w:ind w:left="247" w:hanging="247"/>
              <w:rPr>
                <w:sz w:val="20"/>
                <w:szCs w:val="20"/>
              </w:rPr>
            </w:pPr>
            <w:r>
              <w:rPr>
                <w:sz w:val="20"/>
                <w:szCs w:val="20"/>
              </w:rPr>
              <w:t xml:space="preserve">Evidence that ELP standards </w:t>
            </w:r>
            <w:r w:rsidRPr="00B65CC5">
              <w:rPr>
                <w:sz w:val="20"/>
                <w:szCs w:val="20"/>
              </w:rPr>
              <w:t>contain language proficiency expectations that reflect the language needed for ELs to acquire and demonstrate their achievement of the knowledge and skills identified in the State’s academic content standards appropriate to each grade-level/grade-band</w:t>
            </w:r>
          </w:p>
        </w:tc>
      </w:tr>
    </w:tbl>
    <w:p w14:paraId="286438B2" w14:textId="77777777" w:rsidR="004B0E92" w:rsidRDefault="004B0E92" w:rsidP="004B0E92">
      <w:pPr>
        <w:pStyle w:val="Heading6"/>
      </w:pPr>
    </w:p>
    <w:p w14:paraId="27DFBE10" w14:textId="77777777" w:rsidR="004B0E92" w:rsidRDefault="004B0E92" w:rsidP="004B0E92">
      <w:pPr>
        <w:pStyle w:val="Heading6"/>
      </w:pPr>
      <w:r>
        <w:br w:type="page"/>
      </w:r>
    </w:p>
    <w:p w14:paraId="4D8B2488" w14:textId="77777777" w:rsidR="004B0E92" w:rsidRDefault="004B0E92" w:rsidP="004B0E92">
      <w:pPr>
        <w:pStyle w:val="Heading2"/>
      </w:pPr>
      <w:bookmarkStart w:id="5" w:name="_Toc3354956"/>
      <w:r w:rsidRPr="00912354">
        <w:lastRenderedPageBreak/>
        <w:t>Critical Element 1.</w:t>
      </w:r>
      <w:r>
        <w:t>3</w:t>
      </w:r>
      <w:r w:rsidRPr="00912354">
        <w:t xml:space="preserve"> – Required Assessments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36BD63D0"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6E056280"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FA0B452"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3329651"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376F9DC3" w14:textId="77777777" w:rsidTr="00385738">
        <w:tc>
          <w:tcPr>
            <w:tcW w:w="3618" w:type="dxa"/>
            <w:shd w:val="clear" w:color="auto" w:fill="auto"/>
          </w:tcPr>
          <w:p w14:paraId="1AAAF9DB" w14:textId="77777777" w:rsidR="004B0E92" w:rsidRPr="002313D0" w:rsidRDefault="004B0E92" w:rsidP="00385738">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2C40117D" w14:textId="77777777" w:rsidR="004B0E92" w:rsidRPr="002313D0" w:rsidRDefault="004B0E92" w:rsidP="008D31CB">
            <w:pPr>
              <w:pStyle w:val="ListParagraph"/>
              <w:numPr>
                <w:ilvl w:val="0"/>
                <w:numId w:val="10"/>
              </w:numPr>
              <w:rPr>
                <w:sz w:val="20"/>
                <w:szCs w:val="20"/>
              </w:rPr>
            </w:pPr>
            <w:r w:rsidRPr="002313D0">
              <w:rPr>
                <w:sz w:val="20"/>
                <w:szCs w:val="20"/>
              </w:rPr>
              <w:t>All ELs in grades K-12.</w:t>
            </w:r>
          </w:p>
          <w:p w14:paraId="30EBB477" w14:textId="77777777" w:rsidR="004B0E92" w:rsidRPr="0077197F" w:rsidRDefault="004B0E92" w:rsidP="00385738">
            <w:pPr>
              <w:pStyle w:val="ListParagraph"/>
              <w:ind w:left="360"/>
              <w:rPr>
                <w:sz w:val="20"/>
                <w:szCs w:val="20"/>
              </w:rPr>
            </w:pPr>
          </w:p>
        </w:tc>
        <w:tc>
          <w:tcPr>
            <w:tcW w:w="4779" w:type="dxa"/>
            <w:shd w:val="clear" w:color="auto" w:fill="auto"/>
          </w:tcPr>
          <w:p w14:paraId="5D76FAB7" w14:textId="77777777" w:rsidR="004B0E92" w:rsidRPr="00003052" w:rsidRDefault="004B0E92" w:rsidP="00385738">
            <w:pPr>
              <w:rPr>
                <w:sz w:val="20"/>
              </w:rPr>
            </w:pPr>
            <w:r w:rsidRPr="00003052">
              <w:rPr>
                <w:sz w:val="20"/>
              </w:rPr>
              <w:t>2017-2018 Mississippi State Testing Calendar</w:t>
            </w:r>
          </w:p>
          <w:p w14:paraId="387D353E" w14:textId="77777777" w:rsidR="004B0E92" w:rsidRPr="00003052" w:rsidRDefault="004B0E92" w:rsidP="00385738">
            <w:pPr>
              <w:rPr>
                <w:sz w:val="20"/>
              </w:rPr>
            </w:pPr>
            <w:r w:rsidRPr="00003052">
              <w:rPr>
                <w:sz w:val="20"/>
              </w:rPr>
              <w:t>ELPT</w:t>
            </w:r>
          </w:p>
          <w:p w14:paraId="3670618B" w14:textId="77777777" w:rsidR="004B0E92" w:rsidRPr="00003052" w:rsidRDefault="004B0E92" w:rsidP="00385738">
            <w:pPr>
              <w:rPr>
                <w:sz w:val="20"/>
              </w:rPr>
            </w:pPr>
            <w:r w:rsidRPr="00003052">
              <w:rPr>
                <w:sz w:val="20"/>
              </w:rPr>
              <w:t>2018-2019 Mississippi State Testing Calendar</w:t>
            </w:r>
          </w:p>
          <w:p w14:paraId="105AD90E" w14:textId="77777777" w:rsidR="004B0E92" w:rsidRPr="00003052" w:rsidRDefault="004B0E92" w:rsidP="00385738">
            <w:pPr>
              <w:rPr>
                <w:sz w:val="20"/>
              </w:rPr>
            </w:pPr>
            <w:r w:rsidRPr="00003052">
              <w:rPr>
                <w:sz w:val="20"/>
              </w:rPr>
              <w:t>ELPT</w:t>
            </w:r>
          </w:p>
          <w:p w14:paraId="0845B379" w14:textId="77777777" w:rsidR="004B0E92" w:rsidRPr="00003052" w:rsidRDefault="004B0E92" w:rsidP="00385738">
            <w:pPr>
              <w:rPr>
                <w:sz w:val="20"/>
              </w:rPr>
            </w:pPr>
            <w:r w:rsidRPr="00003052">
              <w:rPr>
                <w:sz w:val="20"/>
              </w:rPr>
              <w:t>Mississippi Board of Education Minutes, June</w:t>
            </w:r>
          </w:p>
          <w:p w14:paraId="7502E413" w14:textId="77777777" w:rsidR="004B0E92" w:rsidRPr="0077197F" w:rsidRDefault="004B0E92" w:rsidP="00385738">
            <w:pPr>
              <w:rPr>
                <w:sz w:val="20"/>
              </w:rPr>
            </w:pPr>
            <w:r w:rsidRPr="00003052">
              <w:rPr>
                <w:sz w:val="20"/>
              </w:rPr>
              <w:t>18+19, 2015, pg. 3, Item #10, approval on p. 12.</w:t>
            </w:r>
          </w:p>
        </w:tc>
        <w:tc>
          <w:tcPr>
            <w:tcW w:w="5013" w:type="dxa"/>
            <w:shd w:val="clear" w:color="auto" w:fill="auto"/>
          </w:tcPr>
          <w:p w14:paraId="0AF492CF" w14:textId="77777777" w:rsidR="004B0E92" w:rsidRDefault="004B0E92" w:rsidP="00385738">
            <w:pPr>
              <w:rPr>
                <w:sz w:val="20"/>
              </w:rPr>
            </w:pPr>
            <w:r>
              <w:rPr>
                <w:sz w:val="20"/>
              </w:rPr>
              <w:t xml:space="preserve">The State provided evidence that it administers an ELP assessment to ELs in grades K-12.  </w:t>
            </w:r>
          </w:p>
          <w:p w14:paraId="63B0C3DF" w14:textId="77777777" w:rsidR="004B0E92" w:rsidRDefault="004B0E92" w:rsidP="00385738">
            <w:pPr>
              <w:rPr>
                <w:sz w:val="20"/>
              </w:rPr>
            </w:pPr>
          </w:p>
          <w:p w14:paraId="0F573674" w14:textId="77777777" w:rsidR="004B0E92" w:rsidRDefault="004B0E92" w:rsidP="00385738">
            <w:pPr>
              <w:rPr>
                <w:sz w:val="20"/>
              </w:rPr>
            </w:pPr>
            <w:r>
              <w:rPr>
                <w:sz w:val="20"/>
              </w:rPr>
              <w:t>The State will need to provide evidence that is including ELs with significant cognitive disabilities in Statewide ELP assessment, either through the general ELP assessment or an alternate ELP assessment (AELPA).</w:t>
            </w:r>
          </w:p>
          <w:p w14:paraId="1FD0BDF5" w14:textId="77777777" w:rsidR="004B0E92" w:rsidRDefault="004B0E92" w:rsidP="00385738">
            <w:pPr>
              <w:rPr>
                <w:sz w:val="20"/>
              </w:rPr>
            </w:pPr>
          </w:p>
          <w:p w14:paraId="2614343A" w14:textId="77777777" w:rsidR="004B0E92" w:rsidRDefault="004B0E92" w:rsidP="00385738">
            <w:pPr>
              <w:rPr>
                <w:sz w:val="20"/>
              </w:rPr>
            </w:pPr>
            <w:r>
              <w:rPr>
                <w:sz w:val="20"/>
              </w:rPr>
              <w:t>The State has not submitted an AELPA for ELs with significant cognitive disabilities for this peer review.</w:t>
            </w:r>
          </w:p>
          <w:p w14:paraId="70244ED6" w14:textId="77777777" w:rsidR="004B0E92" w:rsidRDefault="004B0E92" w:rsidP="00385738">
            <w:pPr>
              <w:rPr>
                <w:sz w:val="20"/>
              </w:rPr>
            </w:pPr>
          </w:p>
          <w:p w14:paraId="3BF169AB" w14:textId="77777777" w:rsidR="004B0E92" w:rsidRPr="0077197F" w:rsidRDefault="004B0E92" w:rsidP="00385738">
            <w:pPr>
              <w:rPr>
                <w:sz w:val="20"/>
              </w:rPr>
            </w:pPr>
            <w:r>
              <w:rPr>
                <w:sz w:val="20"/>
              </w:rPr>
              <w:t>The State indicated that it does not provide for an AELPA for ELs with significant cognitive disabilities, but had plans to develop or acquire one.</w:t>
            </w:r>
          </w:p>
        </w:tc>
      </w:tr>
      <w:tr w:rsidR="004B0E92" w:rsidRPr="00532BBF" w14:paraId="47F75BC6" w14:textId="77777777" w:rsidTr="00385738">
        <w:tc>
          <w:tcPr>
            <w:tcW w:w="13410" w:type="dxa"/>
            <w:gridSpan w:val="3"/>
            <w:shd w:val="clear" w:color="auto" w:fill="auto"/>
          </w:tcPr>
          <w:p w14:paraId="5004171C" w14:textId="77777777" w:rsidR="004B0E92" w:rsidRPr="00532BBF" w:rsidRDefault="004B0E92" w:rsidP="00385738">
            <w:pPr>
              <w:pStyle w:val="Heading4"/>
            </w:pPr>
            <w:r>
              <w:t>Section 1.3</w:t>
            </w:r>
            <w:r w:rsidRPr="00532BBF">
              <w:t xml:space="preserve"> Summary Statement</w:t>
            </w:r>
          </w:p>
        </w:tc>
      </w:tr>
      <w:tr w:rsidR="004B0E92" w:rsidRPr="00532BBF" w14:paraId="233E9852" w14:textId="77777777" w:rsidTr="00385738">
        <w:tc>
          <w:tcPr>
            <w:tcW w:w="13410" w:type="dxa"/>
            <w:gridSpan w:val="3"/>
            <w:shd w:val="clear" w:color="auto" w:fill="auto"/>
          </w:tcPr>
          <w:p w14:paraId="77888328" w14:textId="77777777" w:rsidR="004B0E92" w:rsidRPr="00532BBF" w:rsidRDefault="004B0E92" w:rsidP="00385738">
            <w:pPr>
              <w:rPr>
                <w:sz w:val="20"/>
                <w:szCs w:val="20"/>
              </w:rPr>
            </w:pPr>
            <w:r w:rsidRPr="00532BBF">
              <w:rPr>
                <w:sz w:val="20"/>
                <w:szCs w:val="20"/>
              </w:rPr>
              <w:t>_</w:t>
            </w:r>
            <w:r>
              <w:rPr>
                <w:sz w:val="20"/>
                <w:szCs w:val="20"/>
              </w:rPr>
              <w:t>X</w:t>
            </w:r>
            <w:r w:rsidRPr="00532BBF">
              <w:rPr>
                <w:sz w:val="20"/>
                <w:szCs w:val="20"/>
              </w:rPr>
              <w:t xml:space="preserve"> </w:t>
            </w:r>
            <w:r>
              <w:rPr>
                <w:sz w:val="20"/>
                <w:szCs w:val="20"/>
              </w:rPr>
              <w:t xml:space="preserve"> </w:t>
            </w:r>
            <w:r w:rsidRPr="00532BBF">
              <w:rPr>
                <w:sz w:val="20"/>
                <w:szCs w:val="20"/>
              </w:rPr>
              <w:t>The following additional evidence is needed/provide brief rationale:</w:t>
            </w:r>
          </w:p>
          <w:p w14:paraId="4B1C99A1" w14:textId="77777777" w:rsidR="004B0E92" w:rsidRPr="00532BBF" w:rsidRDefault="004B0E92" w:rsidP="00385738">
            <w:pPr>
              <w:ind w:left="720"/>
              <w:rPr>
                <w:sz w:val="20"/>
                <w:szCs w:val="20"/>
              </w:rPr>
            </w:pPr>
            <w:r>
              <w:rPr>
                <w:sz w:val="20"/>
              </w:rPr>
              <w:t>evidence that the State includes ELs with significant cognitive disabilities in Statewide ELP assessment, either through the general ELP assessment or an alternate ELP assessment (AELPA).</w:t>
            </w:r>
          </w:p>
        </w:tc>
      </w:tr>
    </w:tbl>
    <w:p w14:paraId="33664BAB" w14:textId="77777777" w:rsidR="004B0E92" w:rsidRDefault="004B0E92" w:rsidP="004B0E92">
      <w:pPr>
        <w:pStyle w:val="Heading6"/>
      </w:pPr>
    </w:p>
    <w:p w14:paraId="7671BCB4" w14:textId="77777777" w:rsidR="004B0E92" w:rsidRDefault="004B0E92" w:rsidP="004B0E92">
      <w:pPr>
        <w:pStyle w:val="Heading2"/>
      </w:pPr>
      <w:r>
        <w:br w:type="page"/>
      </w:r>
      <w:bookmarkStart w:id="6" w:name="_Toc3354957"/>
      <w:r w:rsidRPr="001430D7">
        <w:lastRenderedPageBreak/>
        <w:t xml:space="preserve">Critical Element 1.4 – </w:t>
      </w:r>
      <w:r>
        <w:t xml:space="preserve">Policies for </w:t>
      </w:r>
      <w:r w:rsidRPr="001430D7">
        <w:t>Including All Students</w:t>
      </w:r>
      <w:r>
        <w:t xml:space="preserve"> in Assessments</w:t>
      </w:r>
      <w:bookmarkEnd w:id="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09C159FD"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04614094"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F7128F"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E8FB28C"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2F7F90AA" w14:textId="77777777" w:rsidTr="00385738">
        <w:tc>
          <w:tcPr>
            <w:tcW w:w="3618" w:type="dxa"/>
            <w:shd w:val="clear" w:color="auto" w:fill="auto"/>
          </w:tcPr>
          <w:p w14:paraId="59A5EA11" w14:textId="77777777" w:rsidR="004B0E92" w:rsidRPr="007E1976" w:rsidRDefault="004B0E92" w:rsidP="008D31CB">
            <w:pPr>
              <w:pStyle w:val="ListParagraph"/>
              <w:numPr>
                <w:ilvl w:val="0"/>
                <w:numId w:val="14"/>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4D117FFE" w14:textId="77777777" w:rsidR="004B0E92" w:rsidRPr="00AE4A50" w:rsidRDefault="004B0E92" w:rsidP="00385738">
            <w:pPr>
              <w:rPr>
                <w:sz w:val="20"/>
              </w:rPr>
            </w:pPr>
            <w:r w:rsidRPr="00AE4A50">
              <w:rPr>
                <w:sz w:val="20"/>
              </w:rPr>
              <w:t>MS English Learner Guidelines - Regulations,</w:t>
            </w:r>
          </w:p>
          <w:p w14:paraId="336809BE" w14:textId="77777777" w:rsidR="004B0E92" w:rsidRPr="00AE4A50" w:rsidRDefault="004B0E92" w:rsidP="00385738">
            <w:pPr>
              <w:rPr>
                <w:sz w:val="20"/>
              </w:rPr>
            </w:pPr>
            <w:r w:rsidRPr="00AE4A50">
              <w:rPr>
                <w:sz w:val="20"/>
              </w:rPr>
              <w:t>Funding Guidance, and Instructional Supports -</w:t>
            </w:r>
          </w:p>
          <w:p w14:paraId="394A8907" w14:textId="77777777" w:rsidR="004B0E92" w:rsidRPr="00AE4A50" w:rsidRDefault="004B0E92" w:rsidP="00385738">
            <w:pPr>
              <w:rPr>
                <w:sz w:val="20"/>
              </w:rPr>
            </w:pPr>
            <w:r w:rsidRPr="00AE4A50">
              <w:rPr>
                <w:sz w:val="20"/>
              </w:rPr>
              <w:t>May 2018R, pgs. 18-19,</w:t>
            </w:r>
          </w:p>
          <w:p w14:paraId="7B77A48F" w14:textId="77777777" w:rsidR="004B0E92" w:rsidRPr="00AE4A50" w:rsidRDefault="004B0E92" w:rsidP="00385738">
            <w:pPr>
              <w:rPr>
                <w:sz w:val="20"/>
              </w:rPr>
            </w:pPr>
            <w:r w:rsidRPr="00AE4A50">
              <w:rPr>
                <w:sz w:val="20"/>
              </w:rPr>
              <w:t> MS Public School Accountability Standards 10-8-</w:t>
            </w:r>
          </w:p>
          <w:p w14:paraId="37F10C0B" w14:textId="77777777" w:rsidR="004B0E92" w:rsidRPr="00AE4A50" w:rsidRDefault="004B0E92" w:rsidP="00385738">
            <w:pPr>
              <w:rPr>
                <w:sz w:val="20"/>
              </w:rPr>
            </w:pPr>
            <w:r w:rsidRPr="00AE4A50">
              <w:rPr>
                <w:sz w:val="20"/>
              </w:rPr>
              <w:t>2018 – pgs. 24, 35-36</w:t>
            </w:r>
          </w:p>
          <w:p w14:paraId="3567D2D8" w14:textId="77777777" w:rsidR="004B0E92" w:rsidRPr="00AE4A50" w:rsidRDefault="004B0E92" w:rsidP="00385738">
            <w:pPr>
              <w:rPr>
                <w:sz w:val="20"/>
              </w:rPr>
            </w:pPr>
            <w:r w:rsidRPr="00AE4A50">
              <w:rPr>
                <w:sz w:val="20"/>
              </w:rPr>
              <w:t> MS SBE Policy - Rule 78.1</w:t>
            </w:r>
          </w:p>
          <w:p w14:paraId="6B1081EE" w14:textId="77777777" w:rsidR="004B0E92" w:rsidRPr="00AE4A50" w:rsidRDefault="004B0E92" w:rsidP="00385738">
            <w:pPr>
              <w:rPr>
                <w:sz w:val="20"/>
              </w:rPr>
            </w:pPr>
            <w:r w:rsidRPr="00AE4A50">
              <w:rPr>
                <w:sz w:val="20"/>
              </w:rPr>
              <w:t> Individualized Education Program - Rev. August</w:t>
            </w:r>
          </w:p>
          <w:p w14:paraId="73558304" w14:textId="77777777" w:rsidR="004B0E92" w:rsidRPr="00AE4A50" w:rsidRDefault="004B0E92" w:rsidP="00385738">
            <w:pPr>
              <w:rPr>
                <w:sz w:val="20"/>
              </w:rPr>
            </w:pPr>
            <w:r w:rsidRPr="00AE4A50">
              <w:rPr>
                <w:sz w:val="20"/>
              </w:rPr>
              <w:t>2018</w:t>
            </w:r>
          </w:p>
          <w:p w14:paraId="32901E86" w14:textId="77777777" w:rsidR="004B0E92" w:rsidRDefault="004B0E92" w:rsidP="00385738">
            <w:pPr>
              <w:rPr>
                <w:sz w:val="20"/>
              </w:rPr>
            </w:pPr>
            <w:r w:rsidRPr="00AE4A50">
              <w:rPr>
                <w:sz w:val="20"/>
              </w:rPr>
              <w:t> MS Language Service Plan (LSP)</w:t>
            </w:r>
          </w:p>
          <w:p w14:paraId="5DEFCE13" w14:textId="77777777" w:rsidR="004B0E92" w:rsidRPr="00AE4A50" w:rsidRDefault="004B0E92" w:rsidP="00385738">
            <w:pPr>
              <w:rPr>
                <w:sz w:val="20"/>
              </w:rPr>
            </w:pPr>
            <w:r w:rsidRPr="00AE4A50">
              <w:rPr>
                <w:sz w:val="20"/>
              </w:rPr>
              <w:t>MDE-OSA Newsletter - Monthly Reminder</w:t>
            </w:r>
          </w:p>
          <w:p w14:paraId="53C18F1C" w14:textId="77777777" w:rsidR="004B0E92" w:rsidRPr="00AE4A50" w:rsidRDefault="004B0E92" w:rsidP="00385738">
            <w:pPr>
              <w:rPr>
                <w:sz w:val="20"/>
              </w:rPr>
            </w:pPr>
            <w:r w:rsidRPr="00AE4A50">
              <w:rPr>
                <w:sz w:val="20"/>
              </w:rPr>
              <w:t>February 2016 FINAL</w:t>
            </w:r>
          </w:p>
          <w:p w14:paraId="439C07B4" w14:textId="77777777" w:rsidR="004B0E92" w:rsidRPr="00AE4A50" w:rsidRDefault="004B0E92" w:rsidP="00385738">
            <w:pPr>
              <w:rPr>
                <w:sz w:val="20"/>
              </w:rPr>
            </w:pPr>
            <w:r w:rsidRPr="00AE4A50">
              <w:rPr>
                <w:sz w:val="20"/>
              </w:rPr>
              <w:t> LAS Links Notifications – Ongoing (Document was</w:t>
            </w:r>
          </w:p>
          <w:p w14:paraId="53E058C2" w14:textId="77777777" w:rsidR="004B0E92" w:rsidRPr="00AE4A50" w:rsidRDefault="004B0E92" w:rsidP="00385738">
            <w:pPr>
              <w:rPr>
                <w:sz w:val="20"/>
              </w:rPr>
            </w:pPr>
            <w:r w:rsidRPr="00AE4A50">
              <w:rPr>
                <w:sz w:val="20"/>
              </w:rPr>
              <w:t>discontinued in May of 2016.)</w:t>
            </w:r>
          </w:p>
          <w:p w14:paraId="60B9F88B" w14:textId="77777777" w:rsidR="004B0E92" w:rsidRPr="0077197F" w:rsidRDefault="004B0E92" w:rsidP="00385738">
            <w:pPr>
              <w:rPr>
                <w:sz w:val="20"/>
              </w:rPr>
            </w:pPr>
          </w:p>
        </w:tc>
        <w:tc>
          <w:tcPr>
            <w:tcW w:w="5013" w:type="dxa"/>
            <w:shd w:val="clear" w:color="auto" w:fill="auto"/>
          </w:tcPr>
          <w:p w14:paraId="5980E62E" w14:textId="77777777" w:rsidR="004B0E92" w:rsidRDefault="004B0E92" w:rsidP="00385738">
            <w:pPr>
              <w:rPr>
                <w:sz w:val="20"/>
              </w:rPr>
            </w:pPr>
            <w:r>
              <w:rPr>
                <w:sz w:val="20"/>
              </w:rPr>
              <w:t>State’s evidence establishes that the State’s assessment system includes all ELs in grades K-12, including ELs with disabilities.  The exception is noted in critical element 1.3.</w:t>
            </w:r>
          </w:p>
          <w:p w14:paraId="410B4BF3" w14:textId="77777777" w:rsidR="004B0E92" w:rsidRDefault="004B0E92" w:rsidP="00385738">
            <w:pPr>
              <w:rPr>
                <w:sz w:val="20"/>
              </w:rPr>
            </w:pPr>
          </w:p>
          <w:p w14:paraId="696D8FED" w14:textId="77777777" w:rsidR="004B0E92" w:rsidRDefault="004B0E92" w:rsidP="00385738">
            <w:pPr>
              <w:rPr>
                <w:sz w:val="20"/>
              </w:rPr>
            </w:pPr>
            <w:r>
              <w:rPr>
                <w:sz w:val="20"/>
              </w:rPr>
              <w:t>The State will need to provide evidence that is including these ELs in Statewide ELP assessment, either through the general ELP assessment or an AELPA.</w:t>
            </w:r>
          </w:p>
          <w:p w14:paraId="2B377175" w14:textId="77777777" w:rsidR="004B0E92" w:rsidRDefault="004B0E92" w:rsidP="00385738">
            <w:pPr>
              <w:rPr>
                <w:sz w:val="20"/>
              </w:rPr>
            </w:pPr>
          </w:p>
          <w:p w14:paraId="090860BC" w14:textId="77777777" w:rsidR="004B0E92" w:rsidRDefault="004B0E92" w:rsidP="00385738">
            <w:pPr>
              <w:rPr>
                <w:sz w:val="20"/>
              </w:rPr>
            </w:pPr>
            <w:r>
              <w:rPr>
                <w:sz w:val="20"/>
              </w:rPr>
              <w:t>The State has not submitted an alternate ELP assessment (AELPA) for ELs with significant cognitive disabilities for this peer review.</w:t>
            </w:r>
          </w:p>
          <w:p w14:paraId="2173CDDC" w14:textId="77777777" w:rsidR="004B0E92" w:rsidRDefault="004B0E92" w:rsidP="00385738">
            <w:pPr>
              <w:rPr>
                <w:sz w:val="20"/>
              </w:rPr>
            </w:pPr>
          </w:p>
          <w:p w14:paraId="72AD4849" w14:textId="77777777" w:rsidR="004B0E92" w:rsidRDefault="004B0E92" w:rsidP="00385738">
            <w:pPr>
              <w:rPr>
                <w:sz w:val="20"/>
              </w:rPr>
            </w:pPr>
            <w:r>
              <w:rPr>
                <w:sz w:val="20"/>
              </w:rPr>
              <w:t>The State indicated that it does not provide for an AELPA for ELs with significant cognitive disabilities, but had plans to develop or acquire one.</w:t>
            </w:r>
          </w:p>
          <w:p w14:paraId="7CBB10C7" w14:textId="77777777" w:rsidR="004B0E92" w:rsidRPr="0077197F" w:rsidRDefault="004B0E92" w:rsidP="00385738">
            <w:pPr>
              <w:rPr>
                <w:sz w:val="20"/>
              </w:rPr>
            </w:pPr>
          </w:p>
        </w:tc>
      </w:tr>
      <w:tr w:rsidR="004B0E92" w:rsidRPr="00532BBF" w14:paraId="0E50537C" w14:textId="77777777" w:rsidTr="00385738">
        <w:tc>
          <w:tcPr>
            <w:tcW w:w="13410" w:type="dxa"/>
            <w:gridSpan w:val="3"/>
            <w:shd w:val="clear" w:color="auto" w:fill="auto"/>
          </w:tcPr>
          <w:p w14:paraId="4BDD92AA" w14:textId="77777777" w:rsidR="004B0E92" w:rsidRPr="00532BBF" w:rsidRDefault="004B0E92" w:rsidP="00385738">
            <w:pPr>
              <w:pStyle w:val="Heading4"/>
            </w:pPr>
            <w:r>
              <w:t>Section 1.4</w:t>
            </w:r>
            <w:r w:rsidRPr="00532BBF">
              <w:t xml:space="preserve"> Summary Statement</w:t>
            </w:r>
          </w:p>
        </w:tc>
      </w:tr>
      <w:tr w:rsidR="004B0E92" w:rsidRPr="00532BBF" w14:paraId="7E67B4CA" w14:textId="77777777" w:rsidTr="00385738">
        <w:tc>
          <w:tcPr>
            <w:tcW w:w="13410" w:type="dxa"/>
            <w:gridSpan w:val="3"/>
            <w:shd w:val="clear" w:color="auto" w:fill="auto"/>
          </w:tcPr>
          <w:p w14:paraId="3A9F79B7" w14:textId="77777777" w:rsidR="004B0E92" w:rsidRPr="00532BBF" w:rsidRDefault="004B0E92" w:rsidP="00385738">
            <w:pPr>
              <w:rPr>
                <w:sz w:val="20"/>
                <w:szCs w:val="20"/>
              </w:rPr>
            </w:pPr>
            <w:r>
              <w:rPr>
                <w:sz w:val="20"/>
                <w:szCs w:val="20"/>
              </w:rPr>
              <w:t>X</w:t>
            </w:r>
            <w:r w:rsidRPr="00532BBF">
              <w:rPr>
                <w:sz w:val="20"/>
                <w:szCs w:val="20"/>
              </w:rPr>
              <w:t xml:space="preserve"> </w:t>
            </w:r>
            <w:r>
              <w:rPr>
                <w:sz w:val="20"/>
                <w:szCs w:val="20"/>
              </w:rPr>
              <w:t xml:space="preserve"> As also noted in critical element 1.3, t</w:t>
            </w:r>
            <w:r w:rsidRPr="00532BBF">
              <w:rPr>
                <w:sz w:val="20"/>
                <w:szCs w:val="20"/>
              </w:rPr>
              <w:t>he following additional evidence is needed/provide brief rationale:</w:t>
            </w:r>
          </w:p>
          <w:p w14:paraId="130D27C4" w14:textId="77777777" w:rsidR="004B0E92" w:rsidRDefault="004B0E92" w:rsidP="008D31CB">
            <w:pPr>
              <w:numPr>
                <w:ilvl w:val="0"/>
                <w:numId w:val="10"/>
              </w:numPr>
              <w:rPr>
                <w:sz w:val="20"/>
              </w:rPr>
            </w:pPr>
            <w:r>
              <w:rPr>
                <w:sz w:val="20"/>
              </w:rPr>
              <w:t>evidence that the State includes ELs with significant cognitive disabilities in Statewide ELP assessment, either through the general ELP assessment or an alternate ELP assessment (AELPA).</w:t>
            </w:r>
          </w:p>
          <w:p w14:paraId="7ABB4C36" w14:textId="77777777" w:rsidR="004B0E92" w:rsidRPr="00532BBF" w:rsidRDefault="004B0E92" w:rsidP="00385738">
            <w:pPr>
              <w:ind w:left="720"/>
              <w:rPr>
                <w:sz w:val="20"/>
                <w:szCs w:val="20"/>
              </w:rPr>
            </w:pPr>
          </w:p>
        </w:tc>
      </w:tr>
    </w:tbl>
    <w:p w14:paraId="6B8FAF47" w14:textId="77777777" w:rsidR="004B0E92" w:rsidRDefault="004B0E92" w:rsidP="004B0E92"/>
    <w:p w14:paraId="0244276A" w14:textId="77777777" w:rsidR="004B0E92" w:rsidRDefault="004B0E92" w:rsidP="004B0E92">
      <w:pPr>
        <w:pStyle w:val="Heading2"/>
      </w:pPr>
      <w:r>
        <w:br w:type="page"/>
      </w:r>
      <w:bookmarkStart w:id="7" w:name="_Toc3354958"/>
      <w:r w:rsidRPr="00A74448">
        <w:lastRenderedPageBreak/>
        <w:t>Critical Element 1.5</w:t>
      </w:r>
      <w:r w:rsidRPr="008B7880">
        <w:t xml:space="preserve"> – Meaningful Consultation in the Development of Challenging State Standards and Assessments</w:t>
      </w:r>
      <w:bookmarkEnd w:id="7"/>
      <w:r w:rsidRPr="008B7880">
        <w:t xml:space="preserve"> </w:t>
      </w:r>
    </w:p>
    <w:p w14:paraId="0BA8C149" w14:textId="77777777" w:rsidR="004B0E92" w:rsidRDefault="004B0E92" w:rsidP="004B0E92">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1369B928"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640BD4B4"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4EBDD4A"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953D9E"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rsidRPr="00D729E9" w14:paraId="20BAD517" w14:textId="77777777" w:rsidTr="00385738">
        <w:tc>
          <w:tcPr>
            <w:tcW w:w="3618" w:type="dxa"/>
            <w:shd w:val="clear" w:color="auto" w:fill="auto"/>
          </w:tcPr>
          <w:p w14:paraId="59F0F671" w14:textId="77777777" w:rsidR="004B0E92" w:rsidRPr="002313D0" w:rsidRDefault="004B0E92" w:rsidP="00385738">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0C2B2EC3" w14:textId="77777777" w:rsidR="004B0E92" w:rsidRPr="002313D0" w:rsidRDefault="004B0E92" w:rsidP="008D31CB">
            <w:pPr>
              <w:numPr>
                <w:ilvl w:val="0"/>
                <w:numId w:val="20"/>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6FAD9CEB" w14:textId="77777777" w:rsidR="004B0E92" w:rsidRPr="002313D0" w:rsidRDefault="004B0E92" w:rsidP="008D31CB">
            <w:pPr>
              <w:numPr>
                <w:ilvl w:val="0"/>
                <w:numId w:val="20"/>
              </w:numPr>
              <w:ind w:left="360"/>
              <w:rPr>
                <w:sz w:val="20"/>
                <w:szCs w:val="20"/>
              </w:rPr>
            </w:pPr>
            <w:r w:rsidRPr="002313D0">
              <w:rPr>
                <w:sz w:val="20"/>
                <w:szCs w:val="20"/>
              </w:rPr>
              <w:t>Local educational agencies (including those located in rural areas).</w:t>
            </w:r>
          </w:p>
          <w:p w14:paraId="7269D868" w14:textId="77777777" w:rsidR="004B0E92" w:rsidRPr="002313D0" w:rsidRDefault="004B0E92" w:rsidP="008D31CB">
            <w:pPr>
              <w:numPr>
                <w:ilvl w:val="0"/>
                <w:numId w:val="20"/>
              </w:numPr>
              <w:ind w:left="360"/>
              <w:rPr>
                <w:sz w:val="20"/>
                <w:szCs w:val="20"/>
              </w:rPr>
            </w:pPr>
            <w:r w:rsidRPr="002313D0">
              <w:rPr>
                <w:sz w:val="20"/>
                <w:szCs w:val="20"/>
              </w:rPr>
              <w:t xml:space="preserve">Representatives of Indian tribes located in the State. </w:t>
            </w:r>
          </w:p>
          <w:p w14:paraId="61A0037E" w14:textId="77777777" w:rsidR="004B0E92" w:rsidRPr="0077197F" w:rsidRDefault="004B0E92" w:rsidP="008D31CB">
            <w:pPr>
              <w:numPr>
                <w:ilvl w:val="0"/>
                <w:numId w:val="20"/>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52B2E066" w14:textId="77777777" w:rsidR="004B0E92" w:rsidRPr="003904B5" w:rsidRDefault="004B0E92" w:rsidP="00385738">
            <w:pPr>
              <w:rPr>
                <w:sz w:val="20"/>
              </w:rPr>
            </w:pPr>
            <w:r w:rsidRPr="003904B5">
              <w:rPr>
                <w:sz w:val="20"/>
              </w:rPr>
              <w:t>MDE-OSA Newsletter - Monthly Reminder</w:t>
            </w:r>
          </w:p>
          <w:p w14:paraId="33578AEA" w14:textId="77777777" w:rsidR="004B0E92" w:rsidRPr="003904B5" w:rsidRDefault="004B0E92" w:rsidP="00385738">
            <w:pPr>
              <w:rPr>
                <w:sz w:val="20"/>
              </w:rPr>
            </w:pPr>
            <w:r w:rsidRPr="003904B5">
              <w:rPr>
                <w:sz w:val="20"/>
              </w:rPr>
              <w:t>February 2016 FINAL</w:t>
            </w:r>
          </w:p>
          <w:p w14:paraId="4078EF07" w14:textId="77777777" w:rsidR="004B0E92" w:rsidRPr="003904B5" w:rsidRDefault="004B0E92" w:rsidP="00385738">
            <w:pPr>
              <w:rPr>
                <w:sz w:val="20"/>
              </w:rPr>
            </w:pPr>
            <w:r w:rsidRPr="003904B5">
              <w:rPr>
                <w:sz w:val="20"/>
              </w:rPr>
              <w:t> LAS Links Notifications – Ongoing (Document was</w:t>
            </w:r>
          </w:p>
          <w:p w14:paraId="7A76A5F9" w14:textId="77777777" w:rsidR="004B0E92" w:rsidRPr="003904B5" w:rsidRDefault="004B0E92" w:rsidP="00385738">
            <w:pPr>
              <w:rPr>
                <w:sz w:val="20"/>
              </w:rPr>
            </w:pPr>
            <w:r w:rsidRPr="003904B5">
              <w:rPr>
                <w:sz w:val="20"/>
              </w:rPr>
              <w:t>discontinued in May of 2016.)</w:t>
            </w:r>
          </w:p>
          <w:p w14:paraId="34CA37C5" w14:textId="77777777" w:rsidR="004B0E92" w:rsidRPr="003904B5" w:rsidRDefault="004B0E92" w:rsidP="00385738">
            <w:pPr>
              <w:rPr>
                <w:sz w:val="20"/>
              </w:rPr>
            </w:pPr>
            <w:r w:rsidRPr="003904B5">
              <w:rPr>
                <w:sz w:val="20"/>
              </w:rPr>
              <w:t> MS English Learner Guidelines - Regulations,</w:t>
            </w:r>
          </w:p>
          <w:p w14:paraId="4CCA5336" w14:textId="77777777" w:rsidR="004B0E92" w:rsidRPr="003904B5" w:rsidRDefault="004B0E92" w:rsidP="00385738">
            <w:pPr>
              <w:rPr>
                <w:sz w:val="20"/>
              </w:rPr>
            </w:pPr>
            <w:r w:rsidRPr="003904B5">
              <w:rPr>
                <w:sz w:val="20"/>
              </w:rPr>
              <w:t>Funding Guidance, and Instructional Supports -</w:t>
            </w:r>
          </w:p>
          <w:p w14:paraId="08E725DF" w14:textId="77777777" w:rsidR="004B0E92" w:rsidRPr="0077197F" w:rsidRDefault="004B0E92" w:rsidP="00385738">
            <w:pPr>
              <w:rPr>
                <w:sz w:val="20"/>
              </w:rPr>
            </w:pPr>
            <w:r w:rsidRPr="003904B5">
              <w:rPr>
                <w:sz w:val="20"/>
              </w:rPr>
              <w:t>May 2018R, pg. 27</w:t>
            </w:r>
          </w:p>
        </w:tc>
        <w:tc>
          <w:tcPr>
            <w:tcW w:w="5013" w:type="dxa"/>
            <w:shd w:val="clear" w:color="auto" w:fill="auto"/>
          </w:tcPr>
          <w:p w14:paraId="26A49B07" w14:textId="77777777" w:rsidR="004B0E92" w:rsidRDefault="004B0E92" w:rsidP="00385738">
            <w:pPr>
              <w:rPr>
                <w:sz w:val="20"/>
              </w:rPr>
            </w:pPr>
            <w:r>
              <w:rPr>
                <w:sz w:val="20"/>
              </w:rPr>
              <w:t>It is unclear if the State has formally adopted ELP standards; the State has ELP standards that it claims are aligned with the ELP assessment.</w:t>
            </w:r>
          </w:p>
          <w:p w14:paraId="13DC2C2B" w14:textId="77777777" w:rsidR="004B0E92" w:rsidRDefault="004B0E92" w:rsidP="00385738">
            <w:pPr>
              <w:rPr>
                <w:sz w:val="20"/>
              </w:rPr>
            </w:pPr>
          </w:p>
          <w:p w14:paraId="0097322F" w14:textId="77777777" w:rsidR="004B0E92" w:rsidRDefault="004B0E92" w:rsidP="00385738">
            <w:pPr>
              <w:rPr>
                <w:sz w:val="20"/>
              </w:rPr>
            </w:pPr>
            <w:r>
              <w:rPr>
                <w:sz w:val="20"/>
              </w:rPr>
              <w:t>However, since there is no direct evidence that the State has formally adopted ELP standards it is not possible to ascertain if this critical element applies, although evidence indicates the State has used the current ELP standards since February 2016.  Assuming that February 2016 applies as a date of implementation/adoption, this critical element does apply.</w:t>
            </w:r>
          </w:p>
          <w:p w14:paraId="436CF045" w14:textId="77777777" w:rsidR="004B0E92" w:rsidRDefault="004B0E92" w:rsidP="00385738">
            <w:pPr>
              <w:rPr>
                <w:sz w:val="20"/>
              </w:rPr>
            </w:pPr>
          </w:p>
          <w:p w14:paraId="454A4D93" w14:textId="77777777" w:rsidR="004B0E92" w:rsidRDefault="004B0E92" w:rsidP="00385738">
            <w:pPr>
              <w:rPr>
                <w:sz w:val="20"/>
              </w:rPr>
            </w:pPr>
            <w:r>
              <w:rPr>
                <w:sz w:val="20"/>
              </w:rPr>
              <w:t>Assuming the critical element does apply, the State did not provide evidence to support the criteria for this critical element.</w:t>
            </w:r>
          </w:p>
          <w:p w14:paraId="4E8EE2C8" w14:textId="77777777" w:rsidR="004B0E92" w:rsidRDefault="004B0E92" w:rsidP="00385738">
            <w:pPr>
              <w:rPr>
                <w:sz w:val="20"/>
              </w:rPr>
            </w:pPr>
          </w:p>
          <w:p w14:paraId="5A9EFF73" w14:textId="77777777" w:rsidR="004B0E92" w:rsidRPr="0077197F" w:rsidRDefault="004B0E92" w:rsidP="00385738">
            <w:pPr>
              <w:rPr>
                <w:sz w:val="20"/>
              </w:rPr>
            </w:pPr>
          </w:p>
        </w:tc>
      </w:tr>
      <w:tr w:rsidR="004B0E92" w:rsidRPr="00532BBF" w14:paraId="67235561" w14:textId="77777777" w:rsidTr="00385738">
        <w:tc>
          <w:tcPr>
            <w:tcW w:w="13410" w:type="dxa"/>
            <w:gridSpan w:val="3"/>
            <w:shd w:val="clear" w:color="auto" w:fill="auto"/>
          </w:tcPr>
          <w:p w14:paraId="3A8DA5ED" w14:textId="77777777" w:rsidR="004B0E92" w:rsidRPr="00532BBF" w:rsidRDefault="004B0E92" w:rsidP="00385738">
            <w:pPr>
              <w:pStyle w:val="Heading4"/>
            </w:pPr>
            <w:r>
              <w:t>Section 1.5</w:t>
            </w:r>
            <w:r w:rsidRPr="00532BBF">
              <w:t xml:space="preserve"> Summary Statement</w:t>
            </w:r>
          </w:p>
        </w:tc>
      </w:tr>
      <w:tr w:rsidR="004B0E92" w:rsidRPr="00532BBF" w14:paraId="3B034A3A" w14:textId="77777777" w:rsidTr="00385738">
        <w:tc>
          <w:tcPr>
            <w:tcW w:w="13410" w:type="dxa"/>
            <w:gridSpan w:val="3"/>
            <w:shd w:val="clear" w:color="auto" w:fill="auto"/>
          </w:tcPr>
          <w:p w14:paraId="518F53BD" w14:textId="77777777" w:rsidR="004B0E92" w:rsidRPr="00532BBF" w:rsidRDefault="004B0E92" w:rsidP="00385738">
            <w:pPr>
              <w:rPr>
                <w:sz w:val="20"/>
                <w:szCs w:val="20"/>
              </w:rPr>
            </w:pPr>
            <w:r>
              <w:rPr>
                <w:sz w:val="20"/>
                <w:szCs w:val="20"/>
              </w:rPr>
              <w:t>X</w:t>
            </w:r>
            <w:r w:rsidRPr="00532BBF">
              <w:rPr>
                <w:sz w:val="20"/>
                <w:szCs w:val="20"/>
              </w:rPr>
              <w:t>_ The following additional evidence is needed/provide brief rationale:</w:t>
            </w:r>
          </w:p>
          <w:p w14:paraId="028C49EA" w14:textId="77777777" w:rsidR="004B0E92" w:rsidRPr="002313D0" w:rsidRDefault="004B0E92" w:rsidP="00385738">
            <w:pPr>
              <w:spacing w:before="80"/>
              <w:rPr>
                <w:sz w:val="20"/>
                <w:szCs w:val="20"/>
              </w:rPr>
            </w:pPr>
            <w:r>
              <w:rPr>
                <w:sz w:val="20"/>
                <w:szCs w:val="20"/>
              </w:rPr>
              <w:t>F</w:t>
            </w:r>
            <w:r w:rsidRPr="002313D0">
              <w:rPr>
                <w:sz w:val="20"/>
                <w:szCs w:val="20"/>
              </w:rPr>
              <w:t xml:space="preserve">or </w:t>
            </w:r>
            <w:r>
              <w:rPr>
                <w:sz w:val="20"/>
                <w:szCs w:val="20"/>
              </w:rPr>
              <w:t xml:space="preserve">the </w:t>
            </w:r>
            <w:r w:rsidRPr="002313D0">
              <w:rPr>
                <w:sz w:val="20"/>
                <w:szCs w:val="20"/>
              </w:rPr>
              <w:t xml:space="preserve">challenging </w:t>
            </w:r>
            <w:r w:rsidRPr="002313D0">
              <w:rPr>
                <w:b/>
                <w:i/>
                <w:sz w:val="20"/>
                <w:szCs w:val="20"/>
              </w:rPr>
              <w:t>ELP</w:t>
            </w:r>
            <w:r w:rsidRPr="002313D0">
              <w:rPr>
                <w:sz w:val="20"/>
                <w:szCs w:val="20"/>
              </w:rPr>
              <w:t xml:space="preserve"> standards and assessments, </w:t>
            </w:r>
            <w:r>
              <w:rPr>
                <w:sz w:val="20"/>
                <w:szCs w:val="20"/>
              </w:rPr>
              <w:t xml:space="preserve">evidence that </w:t>
            </w:r>
            <w:r w:rsidRPr="002313D0">
              <w:rPr>
                <w:sz w:val="20"/>
                <w:szCs w:val="20"/>
              </w:rPr>
              <w:t>the State has conducted meaningful and timely consultation with:</w:t>
            </w:r>
          </w:p>
          <w:p w14:paraId="5AFC37B9" w14:textId="77777777" w:rsidR="004B0E92" w:rsidRPr="002313D0" w:rsidRDefault="004B0E92" w:rsidP="008D31CB">
            <w:pPr>
              <w:numPr>
                <w:ilvl w:val="0"/>
                <w:numId w:val="3"/>
              </w:numPr>
              <w:ind w:left="72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18F2AA60" w14:textId="77777777" w:rsidR="004B0E92" w:rsidRPr="002313D0" w:rsidRDefault="004B0E92" w:rsidP="008D31CB">
            <w:pPr>
              <w:numPr>
                <w:ilvl w:val="0"/>
                <w:numId w:val="3"/>
              </w:numPr>
              <w:ind w:left="720"/>
              <w:rPr>
                <w:sz w:val="20"/>
                <w:szCs w:val="20"/>
              </w:rPr>
            </w:pPr>
            <w:r w:rsidRPr="002313D0">
              <w:rPr>
                <w:sz w:val="20"/>
                <w:szCs w:val="20"/>
              </w:rPr>
              <w:t>Local educational agencies (including those located in rural areas).</w:t>
            </w:r>
          </w:p>
          <w:p w14:paraId="307EDA26" w14:textId="77777777" w:rsidR="004B0E92" w:rsidRPr="002313D0" w:rsidRDefault="004B0E92" w:rsidP="008D31CB">
            <w:pPr>
              <w:numPr>
                <w:ilvl w:val="0"/>
                <w:numId w:val="3"/>
              </w:numPr>
              <w:ind w:left="720"/>
              <w:rPr>
                <w:sz w:val="20"/>
                <w:szCs w:val="20"/>
              </w:rPr>
            </w:pPr>
            <w:r w:rsidRPr="002313D0">
              <w:rPr>
                <w:sz w:val="20"/>
                <w:szCs w:val="20"/>
              </w:rPr>
              <w:t xml:space="preserve">Representatives of Indian tribes located in the State. </w:t>
            </w:r>
          </w:p>
          <w:p w14:paraId="0D83C344" w14:textId="77777777" w:rsidR="004B0E92" w:rsidRPr="00532BBF" w:rsidRDefault="004B0E92" w:rsidP="008D31CB">
            <w:pPr>
              <w:numPr>
                <w:ilvl w:val="0"/>
                <w:numId w:val="3"/>
              </w:numPr>
              <w:ind w:left="72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p w14:paraId="12E6CAEB" w14:textId="77777777" w:rsidR="004B0E92" w:rsidRPr="00532BBF" w:rsidRDefault="004B0E92" w:rsidP="00385738">
            <w:pPr>
              <w:ind w:left="720"/>
              <w:rPr>
                <w:sz w:val="20"/>
                <w:szCs w:val="20"/>
              </w:rPr>
            </w:pPr>
          </w:p>
        </w:tc>
      </w:tr>
    </w:tbl>
    <w:p w14:paraId="08435709" w14:textId="77777777" w:rsidR="004B0E92" w:rsidRDefault="004B0E92" w:rsidP="004B0E92">
      <w:pPr>
        <w:rPr>
          <w:b/>
          <w:sz w:val="20"/>
          <w:szCs w:val="20"/>
        </w:rPr>
      </w:pPr>
    </w:p>
    <w:p w14:paraId="1A6E9E15" w14:textId="77777777" w:rsidR="004B0E92" w:rsidRPr="008A4204" w:rsidRDefault="004B0E92" w:rsidP="004B0E92">
      <w:pPr>
        <w:pStyle w:val="Heading1"/>
      </w:pPr>
      <w:r>
        <w:br w:type="page"/>
      </w:r>
      <w:bookmarkStart w:id="8" w:name="_Toc3354959"/>
      <w:r w:rsidRPr="008A4204">
        <w:lastRenderedPageBreak/>
        <w:t>SECTI</w:t>
      </w:r>
      <w:bookmarkStart w:id="9" w:name="section2"/>
      <w:bookmarkEnd w:id="9"/>
      <w:r w:rsidRPr="008A4204">
        <w:t>ON 2: ASSESSMENT SYSTEM OPERATIONS</w:t>
      </w:r>
      <w:bookmarkEnd w:id="8"/>
    </w:p>
    <w:p w14:paraId="20B34CBE" w14:textId="77777777" w:rsidR="004B0E92" w:rsidRDefault="004B0E92" w:rsidP="004B0E92">
      <w:pPr>
        <w:pStyle w:val="Heading2"/>
      </w:pPr>
      <w:bookmarkStart w:id="10" w:name="_Toc3354960"/>
      <w:r w:rsidRPr="009678AC">
        <w:t>Critical Element 2.1 – Test Design and Development</w:t>
      </w:r>
      <w:bookmarkEnd w:id="1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2047CDE6"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1993E8F2"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A5C502C"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27C9408"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rsidRPr="00F66479" w14:paraId="7246EA93" w14:textId="77777777" w:rsidTr="00385738">
        <w:tc>
          <w:tcPr>
            <w:tcW w:w="3618" w:type="dxa"/>
            <w:shd w:val="clear" w:color="auto" w:fill="auto"/>
          </w:tcPr>
          <w:p w14:paraId="7DB2C5F8" w14:textId="77777777" w:rsidR="004B0E92" w:rsidRPr="002313D0" w:rsidRDefault="004B0E92" w:rsidP="00385738">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4E61BDFE" w14:textId="77777777" w:rsidR="004B0E92" w:rsidRPr="00CE70F8" w:rsidRDefault="004B0E92" w:rsidP="008D31CB">
            <w:pPr>
              <w:pStyle w:val="ListParagraph"/>
              <w:numPr>
                <w:ilvl w:val="0"/>
                <w:numId w:val="13"/>
              </w:numPr>
              <w:rPr>
                <w:sz w:val="20"/>
                <w:szCs w:val="20"/>
              </w:rPr>
            </w:pPr>
            <w:r w:rsidRPr="00CE70F8">
              <w:rPr>
                <w:sz w:val="20"/>
                <w:szCs w:val="20"/>
              </w:rPr>
              <w:t>Statement(s) of the purposes of the assessments and the intended interpretations and uses of results;</w:t>
            </w:r>
          </w:p>
          <w:p w14:paraId="16C29FB4" w14:textId="77777777" w:rsidR="004B0E92" w:rsidRPr="00CE70F8" w:rsidRDefault="004B0E92" w:rsidP="008D31CB">
            <w:pPr>
              <w:pStyle w:val="ListParagraph"/>
              <w:numPr>
                <w:ilvl w:val="0"/>
                <w:numId w:val="13"/>
              </w:numPr>
              <w:rPr>
                <w:sz w:val="20"/>
                <w:szCs w:val="20"/>
              </w:rPr>
            </w:pPr>
            <w:r w:rsidRPr="00CE70F8">
              <w:rPr>
                <w:sz w:val="20"/>
                <w:szCs w:val="20"/>
              </w:rPr>
              <w:t>Test blueprints that describe the structure of each assessment in sufficient detail to support the development of assessments that are technically sound, measure the depth and breadth of</w:t>
            </w:r>
            <w:r w:rsidRPr="00CE70F8">
              <w:rPr>
                <w:i/>
                <w:sz w:val="20"/>
              </w:rPr>
              <w:t> </w:t>
            </w:r>
            <w:r w:rsidRPr="00CE70F8">
              <w:rPr>
                <w:b/>
                <w:i/>
                <w:sz w:val="20"/>
                <w:szCs w:val="20"/>
              </w:rPr>
              <w:t>the State’s ELP standards</w:t>
            </w:r>
            <w:r w:rsidRPr="00CE70F8">
              <w:rPr>
                <w:sz w:val="20"/>
                <w:szCs w:val="20"/>
              </w:rPr>
              <w:t>, and support the intended interpretations and uses of the results.</w:t>
            </w:r>
          </w:p>
          <w:p w14:paraId="43757B7B" w14:textId="77777777" w:rsidR="004B0E92" w:rsidRPr="00CE70F8" w:rsidRDefault="004B0E92" w:rsidP="008D31CB">
            <w:pPr>
              <w:pStyle w:val="ListParagraph"/>
              <w:numPr>
                <w:ilvl w:val="0"/>
                <w:numId w:val="13"/>
              </w:numPr>
              <w:rPr>
                <w:sz w:val="20"/>
                <w:szCs w:val="20"/>
              </w:rPr>
            </w:pPr>
            <w:r w:rsidRPr="00CE70F8">
              <w:rPr>
                <w:sz w:val="20"/>
                <w:szCs w:val="20"/>
              </w:rPr>
              <w:t xml:space="preserve">Processes to ensure that the ELP assessment is tailored to the knowledge and skills included in </w:t>
            </w:r>
            <w:r w:rsidRPr="00CE70F8">
              <w:rPr>
                <w:b/>
                <w:i/>
                <w:sz w:val="20"/>
                <w:szCs w:val="20"/>
              </w:rPr>
              <w:t>the State’s ELP standards</w:t>
            </w:r>
            <w:r w:rsidRPr="00CE70F8">
              <w:rPr>
                <w:sz w:val="20"/>
                <w:szCs w:val="20"/>
              </w:rPr>
              <w:t xml:space="preserve"> and reflects appropriate inclusion of the range of complexity found in the standards.</w:t>
            </w:r>
          </w:p>
          <w:p w14:paraId="0D0EF547" w14:textId="77777777" w:rsidR="004B0E92" w:rsidRPr="006B5D67" w:rsidRDefault="004B0E92" w:rsidP="008D31CB">
            <w:pPr>
              <w:pStyle w:val="ListParagraph"/>
              <w:numPr>
                <w:ilvl w:val="0"/>
                <w:numId w:val="13"/>
              </w:numPr>
              <w:rPr>
                <w:sz w:val="20"/>
                <w:szCs w:val="20"/>
              </w:rPr>
            </w:pPr>
            <w:r w:rsidRPr="006B5D67">
              <w:rPr>
                <w:sz w:val="20"/>
                <w:szCs w:val="20"/>
              </w:rPr>
              <w:t>If the State administers computer-adaptive assessments, the item pool and item selection procedures adequately support the test design and intended uses and interpretations of results.</w:t>
            </w:r>
          </w:p>
          <w:p w14:paraId="11E4653C" w14:textId="77777777" w:rsidR="004B0E92" w:rsidRPr="006B5D67" w:rsidRDefault="004B0E92" w:rsidP="008D31CB">
            <w:pPr>
              <w:pStyle w:val="ListParagraph"/>
              <w:numPr>
                <w:ilvl w:val="0"/>
                <w:numId w:val="13"/>
              </w:numPr>
              <w:rPr>
                <w:sz w:val="20"/>
                <w:szCs w:val="20"/>
              </w:rPr>
            </w:pPr>
            <w:r w:rsidRPr="006B5D67">
              <w:rPr>
                <w:sz w:val="20"/>
                <w:szCs w:val="20"/>
              </w:rPr>
              <w:t xml:space="preserve">If the State administers a computer-adaptive assessment, it makes proficiency determinations with respect to the grade in which the </w:t>
            </w:r>
            <w:r w:rsidRPr="006B5D67">
              <w:rPr>
                <w:sz w:val="20"/>
                <w:szCs w:val="20"/>
              </w:rPr>
              <w:lastRenderedPageBreak/>
              <w:t>student is enrolled and uses that determination for all reporting.</w:t>
            </w:r>
          </w:p>
          <w:p w14:paraId="020C6A5E" w14:textId="77777777" w:rsidR="004B0E92" w:rsidRPr="0077197F" w:rsidRDefault="004B0E92" w:rsidP="00385738">
            <w:pPr>
              <w:rPr>
                <w:sz w:val="20"/>
                <w:szCs w:val="20"/>
              </w:rPr>
            </w:pPr>
            <w:r w:rsidRPr="006B5D67">
              <w:rPr>
                <w:sz w:val="20"/>
                <w:szCs w:val="20"/>
              </w:rPr>
              <w:t xml:space="preserve">If the State administers a content assessment that includes portfolios, such assessment may be partially administered through a portfolio but may not be </w:t>
            </w:r>
            <w:r w:rsidRPr="006B5D67">
              <w:rPr>
                <w:i/>
                <w:sz w:val="20"/>
                <w:szCs w:val="20"/>
              </w:rPr>
              <w:t>entirely</w:t>
            </w:r>
            <w:r w:rsidRPr="006B5D67">
              <w:rPr>
                <w:sz w:val="20"/>
                <w:szCs w:val="20"/>
              </w:rPr>
              <w:t xml:space="preserve"> administered through a portfolio.</w:t>
            </w:r>
            <w:r w:rsidRPr="002313D0">
              <w:rPr>
                <w:sz w:val="20"/>
                <w:szCs w:val="20"/>
              </w:rPr>
              <w:t xml:space="preserve"> </w:t>
            </w:r>
          </w:p>
        </w:tc>
        <w:tc>
          <w:tcPr>
            <w:tcW w:w="4779" w:type="dxa"/>
            <w:shd w:val="clear" w:color="auto" w:fill="auto"/>
          </w:tcPr>
          <w:p w14:paraId="31595B23" w14:textId="77777777" w:rsidR="004B0E92" w:rsidRPr="00731879" w:rsidRDefault="004B0E92" w:rsidP="00385738">
            <w:pPr>
              <w:autoSpaceDE w:val="0"/>
              <w:autoSpaceDN w:val="0"/>
              <w:adjustRightInd w:val="0"/>
              <w:rPr>
                <w:sz w:val="20"/>
                <w:szCs w:val="20"/>
              </w:rPr>
            </w:pPr>
            <w:r w:rsidRPr="0077197F">
              <w:rPr>
                <w:sz w:val="20"/>
                <w:szCs w:val="20"/>
              </w:rPr>
              <w:lastRenderedPageBreak/>
              <w:t xml:space="preserve"> </w:t>
            </w:r>
            <w:r w:rsidRPr="00731879">
              <w:rPr>
                <w:sz w:val="20"/>
                <w:szCs w:val="20"/>
              </w:rPr>
              <w:t>DRC LAS Links® Second Edition, Forms C and D</w:t>
            </w:r>
          </w:p>
          <w:p w14:paraId="4C0A1007" w14:textId="77777777" w:rsidR="004B0E92" w:rsidRPr="00731879" w:rsidRDefault="004B0E92" w:rsidP="00385738">
            <w:pPr>
              <w:autoSpaceDE w:val="0"/>
              <w:autoSpaceDN w:val="0"/>
              <w:adjustRightInd w:val="0"/>
              <w:rPr>
                <w:sz w:val="20"/>
                <w:szCs w:val="20"/>
              </w:rPr>
            </w:pPr>
            <w:r w:rsidRPr="00731879">
              <w:rPr>
                <w:sz w:val="20"/>
                <w:szCs w:val="20"/>
              </w:rPr>
              <w:t>Technical Manual, 2018, pgs. 7-12, 17-20, 24, 26,</w:t>
            </w:r>
          </w:p>
          <w:p w14:paraId="3915C3DF" w14:textId="77777777" w:rsidR="004B0E92" w:rsidRDefault="004B0E92" w:rsidP="00385738">
            <w:pPr>
              <w:autoSpaceDE w:val="0"/>
              <w:autoSpaceDN w:val="0"/>
              <w:adjustRightInd w:val="0"/>
              <w:rPr>
                <w:sz w:val="20"/>
                <w:szCs w:val="20"/>
              </w:rPr>
            </w:pPr>
            <w:r w:rsidRPr="00731879">
              <w:rPr>
                <w:sz w:val="20"/>
                <w:szCs w:val="20"/>
              </w:rPr>
              <w:t xml:space="preserve">33, 101-105 </w:t>
            </w:r>
          </w:p>
          <w:p w14:paraId="130807FF" w14:textId="77777777" w:rsidR="004B0E92" w:rsidRDefault="004B0E92" w:rsidP="00385738">
            <w:pPr>
              <w:autoSpaceDE w:val="0"/>
              <w:autoSpaceDN w:val="0"/>
              <w:adjustRightInd w:val="0"/>
              <w:rPr>
                <w:sz w:val="20"/>
                <w:szCs w:val="20"/>
              </w:rPr>
            </w:pPr>
          </w:p>
          <w:p w14:paraId="36278E24" w14:textId="77777777" w:rsidR="004B0E92" w:rsidRDefault="004B0E92" w:rsidP="00385738">
            <w:pPr>
              <w:autoSpaceDE w:val="0"/>
              <w:autoSpaceDN w:val="0"/>
              <w:adjustRightInd w:val="0"/>
              <w:rPr>
                <w:sz w:val="20"/>
                <w:szCs w:val="20"/>
              </w:rPr>
            </w:pPr>
            <w:r>
              <w:rPr>
                <w:sz w:val="20"/>
                <w:szCs w:val="20"/>
              </w:rPr>
              <w:t>LAS Links Interpretive Guide for Forms C and D,</w:t>
            </w:r>
          </w:p>
          <w:p w14:paraId="2684C004" w14:textId="77777777" w:rsidR="004B0E92" w:rsidRDefault="004B0E92" w:rsidP="00385738">
            <w:pPr>
              <w:autoSpaceDE w:val="0"/>
              <w:autoSpaceDN w:val="0"/>
              <w:adjustRightInd w:val="0"/>
              <w:rPr>
                <w:sz w:val="20"/>
                <w:szCs w:val="20"/>
              </w:rPr>
            </w:pPr>
            <w:r>
              <w:rPr>
                <w:sz w:val="20"/>
                <w:szCs w:val="20"/>
              </w:rPr>
              <w:t>2017</w:t>
            </w:r>
          </w:p>
          <w:p w14:paraId="4DC71120" w14:textId="77777777" w:rsidR="004B0E92" w:rsidRDefault="004B0E92" w:rsidP="00385738">
            <w:pPr>
              <w:autoSpaceDE w:val="0"/>
              <w:autoSpaceDN w:val="0"/>
              <w:adjustRightInd w:val="0"/>
              <w:rPr>
                <w:sz w:val="20"/>
                <w:szCs w:val="20"/>
              </w:rPr>
            </w:pPr>
          </w:p>
          <w:p w14:paraId="68E8D0E3" w14:textId="77777777" w:rsidR="004B0E92" w:rsidRPr="00810C3A" w:rsidRDefault="004B0E92" w:rsidP="00385738">
            <w:pPr>
              <w:autoSpaceDE w:val="0"/>
              <w:autoSpaceDN w:val="0"/>
              <w:adjustRightInd w:val="0"/>
              <w:rPr>
                <w:sz w:val="20"/>
                <w:szCs w:val="20"/>
              </w:rPr>
            </w:pPr>
            <w:r w:rsidRPr="00810C3A">
              <w:rPr>
                <w:rFonts w:ascii="Wingdings-Regular" w:eastAsia="Wingdings-Regular" w:cs="Wingdings-Regular"/>
                <w:sz w:val="20"/>
                <w:szCs w:val="20"/>
              </w:rPr>
              <w:t xml:space="preserve"> </w:t>
            </w:r>
            <w:r w:rsidRPr="00810C3A">
              <w:rPr>
                <w:sz w:val="20"/>
                <w:szCs w:val="20"/>
              </w:rPr>
              <w:t>Linkage and Alignment Study – MS College and</w:t>
            </w:r>
          </w:p>
          <w:p w14:paraId="46A2939E" w14:textId="77777777" w:rsidR="004B0E92" w:rsidRPr="00810C3A" w:rsidRDefault="004B0E92" w:rsidP="00385738">
            <w:pPr>
              <w:autoSpaceDE w:val="0"/>
              <w:autoSpaceDN w:val="0"/>
              <w:adjustRightInd w:val="0"/>
              <w:rPr>
                <w:sz w:val="20"/>
                <w:szCs w:val="20"/>
              </w:rPr>
            </w:pPr>
            <w:r w:rsidRPr="00810C3A">
              <w:rPr>
                <w:sz w:val="20"/>
                <w:szCs w:val="20"/>
              </w:rPr>
              <w:t>Career Readiness Standards and WIDA ELD</w:t>
            </w:r>
          </w:p>
          <w:p w14:paraId="6605F79A" w14:textId="77777777" w:rsidR="004B0E92" w:rsidRDefault="004B0E92" w:rsidP="00385738">
            <w:pPr>
              <w:autoSpaceDE w:val="0"/>
              <w:autoSpaceDN w:val="0"/>
              <w:adjustRightInd w:val="0"/>
              <w:rPr>
                <w:sz w:val="20"/>
                <w:szCs w:val="20"/>
              </w:rPr>
            </w:pPr>
            <w:r w:rsidRPr="00810C3A">
              <w:rPr>
                <w:sz w:val="20"/>
                <w:szCs w:val="20"/>
              </w:rPr>
              <w:t>Standards 2017</w:t>
            </w:r>
            <w:r>
              <w:rPr>
                <w:sz w:val="20"/>
                <w:szCs w:val="20"/>
              </w:rPr>
              <w:t xml:space="preserve"> </w:t>
            </w:r>
          </w:p>
          <w:p w14:paraId="0DF8BBAB" w14:textId="77777777" w:rsidR="004B0E92" w:rsidRPr="00810C3A" w:rsidRDefault="004B0E92" w:rsidP="00385738">
            <w:pPr>
              <w:autoSpaceDE w:val="0"/>
              <w:autoSpaceDN w:val="0"/>
              <w:adjustRightInd w:val="0"/>
              <w:rPr>
                <w:sz w:val="20"/>
                <w:szCs w:val="20"/>
              </w:rPr>
            </w:pPr>
          </w:p>
          <w:p w14:paraId="1A44581B" w14:textId="77777777" w:rsidR="004B0E92" w:rsidRPr="00810C3A" w:rsidRDefault="004B0E92" w:rsidP="00385738">
            <w:pPr>
              <w:autoSpaceDE w:val="0"/>
              <w:autoSpaceDN w:val="0"/>
              <w:adjustRightInd w:val="0"/>
              <w:rPr>
                <w:sz w:val="20"/>
                <w:szCs w:val="20"/>
              </w:rPr>
            </w:pPr>
            <w:r w:rsidRPr="00810C3A">
              <w:rPr>
                <w:sz w:val="20"/>
                <w:szCs w:val="20"/>
              </w:rPr>
              <w:t>LAS Links Alignment to the WIDA Standards -</w:t>
            </w:r>
          </w:p>
          <w:p w14:paraId="4AF4B423" w14:textId="77777777" w:rsidR="004B0E92" w:rsidRDefault="004B0E92" w:rsidP="00385738">
            <w:pPr>
              <w:autoSpaceDE w:val="0"/>
              <w:autoSpaceDN w:val="0"/>
              <w:adjustRightInd w:val="0"/>
              <w:rPr>
                <w:sz w:val="20"/>
                <w:szCs w:val="20"/>
              </w:rPr>
            </w:pPr>
            <w:r w:rsidRPr="00810C3A">
              <w:rPr>
                <w:sz w:val="20"/>
                <w:szCs w:val="20"/>
              </w:rPr>
              <w:t>Sept 2013</w:t>
            </w:r>
            <w:r>
              <w:rPr>
                <w:sz w:val="20"/>
                <w:szCs w:val="20"/>
              </w:rPr>
              <w:t xml:space="preserve"> - This document does not provide evidence of alignment to the state’s selected ELP standards.</w:t>
            </w:r>
          </w:p>
          <w:p w14:paraId="28AF82A0" w14:textId="77777777" w:rsidR="004B0E92" w:rsidRPr="00810C3A" w:rsidRDefault="004B0E92" w:rsidP="00385738">
            <w:pPr>
              <w:autoSpaceDE w:val="0"/>
              <w:autoSpaceDN w:val="0"/>
              <w:adjustRightInd w:val="0"/>
              <w:rPr>
                <w:sz w:val="20"/>
                <w:szCs w:val="20"/>
              </w:rPr>
            </w:pPr>
            <w:r w:rsidRPr="00810C3A">
              <w:rPr>
                <w:sz w:val="20"/>
                <w:szCs w:val="20"/>
              </w:rPr>
              <w:t>TESOL ELD Standards Alignment to LAS Links</w:t>
            </w:r>
          </w:p>
          <w:p w14:paraId="7032FAC8" w14:textId="77777777" w:rsidR="004B0E92" w:rsidRDefault="004B0E92" w:rsidP="00385738">
            <w:pPr>
              <w:pStyle w:val="Default"/>
              <w:rPr>
                <w:sz w:val="20"/>
                <w:szCs w:val="20"/>
              </w:rPr>
            </w:pPr>
            <w:r w:rsidRPr="00810C3A">
              <w:rPr>
                <w:sz w:val="20"/>
                <w:szCs w:val="20"/>
              </w:rPr>
              <w:t xml:space="preserve">Assessment (for Forms C and D) </w:t>
            </w:r>
          </w:p>
          <w:p w14:paraId="6ECBAF82" w14:textId="77777777" w:rsidR="004B0E92" w:rsidRDefault="004B0E92" w:rsidP="00385738">
            <w:pPr>
              <w:pStyle w:val="Default"/>
              <w:rPr>
                <w:sz w:val="20"/>
                <w:szCs w:val="20"/>
              </w:rPr>
            </w:pPr>
          </w:p>
          <w:p w14:paraId="1718FAF3" w14:textId="77777777" w:rsidR="004B0E92" w:rsidRPr="00CE70F8" w:rsidRDefault="004B0E92" w:rsidP="00385738">
            <w:pPr>
              <w:autoSpaceDE w:val="0"/>
              <w:autoSpaceDN w:val="0"/>
              <w:adjustRightInd w:val="0"/>
              <w:rPr>
                <w:sz w:val="20"/>
                <w:szCs w:val="20"/>
              </w:rPr>
            </w:pPr>
            <w:r>
              <w:rPr>
                <w:sz w:val="20"/>
                <w:szCs w:val="20"/>
              </w:rPr>
              <w:t>MS English Learner Guidelines provide evidence of intended uses, but was not cited for this Critical Element.</w:t>
            </w:r>
          </w:p>
        </w:tc>
        <w:tc>
          <w:tcPr>
            <w:tcW w:w="5013" w:type="dxa"/>
            <w:shd w:val="clear" w:color="auto" w:fill="auto"/>
          </w:tcPr>
          <w:p w14:paraId="34600555" w14:textId="77777777" w:rsidR="004B0E92" w:rsidRDefault="004B0E92" w:rsidP="00385738">
            <w:pPr>
              <w:pStyle w:val="Default"/>
              <w:rPr>
                <w:color w:val="auto"/>
                <w:sz w:val="20"/>
                <w:szCs w:val="20"/>
              </w:rPr>
            </w:pPr>
            <w:r>
              <w:rPr>
                <w:color w:val="auto"/>
                <w:sz w:val="20"/>
                <w:szCs w:val="20"/>
              </w:rPr>
              <w:t>Evidence provided states the purposes and intended uses.</w:t>
            </w:r>
          </w:p>
          <w:p w14:paraId="62B96B8A" w14:textId="77777777" w:rsidR="004B0E92" w:rsidRDefault="004B0E92" w:rsidP="00385738">
            <w:pPr>
              <w:pStyle w:val="Default"/>
              <w:rPr>
                <w:color w:val="auto"/>
                <w:sz w:val="20"/>
                <w:szCs w:val="20"/>
              </w:rPr>
            </w:pPr>
          </w:p>
          <w:p w14:paraId="7E5F68EB" w14:textId="77777777" w:rsidR="004B0E92" w:rsidRDefault="004B0E92" w:rsidP="00385738">
            <w:pPr>
              <w:autoSpaceDE w:val="0"/>
              <w:autoSpaceDN w:val="0"/>
              <w:adjustRightInd w:val="0"/>
              <w:rPr>
                <w:sz w:val="20"/>
                <w:szCs w:val="20"/>
                <w:lang w:eastAsia="zh-CN"/>
              </w:rPr>
            </w:pPr>
            <w:r w:rsidRPr="006B5D67">
              <w:rPr>
                <w:sz w:val="20"/>
                <w:szCs w:val="20"/>
                <w:lang w:eastAsia="zh-CN"/>
              </w:rPr>
              <w:t xml:space="preserve">Test blueprints show coverage of the LAS Links framework. </w:t>
            </w:r>
            <w:r>
              <w:rPr>
                <w:sz w:val="20"/>
                <w:szCs w:val="20"/>
                <w:lang w:eastAsia="zh-CN"/>
              </w:rPr>
              <w:t xml:space="preserve"> </w:t>
            </w:r>
          </w:p>
          <w:p w14:paraId="2D48ECC5" w14:textId="77777777" w:rsidR="004B0E92" w:rsidRPr="006B5D67" w:rsidRDefault="004B0E92" w:rsidP="00385738">
            <w:pPr>
              <w:autoSpaceDE w:val="0"/>
              <w:autoSpaceDN w:val="0"/>
              <w:adjustRightInd w:val="0"/>
              <w:rPr>
                <w:sz w:val="20"/>
                <w:szCs w:val="20"/>
                <w:lang w:eastAsia="zh-CN"/>
              </w:rPr>
            </w:pPr>
          </w:p>
          <w:p w14:paraId="61AFFC89" w14:textId="77777777" w:rsidR="004B0E92" w:rsidRDefault="004B0E92" w:rsidP="00385738">
            <w:pPr>
              <w:autoSpaceDE w:val="0"/>
              <w:autoSpaceDN w:val="0"/>
              <w:adjustRightInd w:val="0"/>
              <w:rPr>
                <w:sz w:val="20"/>
                <w:szCs w:val="20"/>
                <w:lang w:eastAsia="zh-CN"/>
              </w:rPr>
            </w:pPr>
            <w:r w:rsidRPr="006B5D67">
              <w:rPr>
                <w:sz w:val="20"/>
                <w:szCs w:val="20"/>
                <w:lang w:eastAsia="zh-CN"/>
              </w:rPr>
              <w:t xml:space="preserve">TESOL standards alignment to LAS Links document implies complete correspondence between “sample” (5, p. 1) TESOL performance indicators (PIs) and LAS Links subskills. Tables 5-8 show item counts per PI. Coverage is varied across the TESOL PIs. It is unclear whether LAS Links covers the range of complexity in the TESOL standards. The alignment evidence is </w:t>
            </w:r>
            <w:r>
              <w:rPr>
                <w:sz w:val="20"/>
                <w:szCs w:val="20"/>
                <w:lang w:eastAsia="zh-CN"/>
              </w:rPr>
              <w:t xml:space="preserve">only </w:t>
            </w:r>
            <w:r w:rsidRPr="006B5D67">
              <w:rPr>
                <w:sz w:val="20"/>
                <w:szCs w:val="20"/>
                <w:lang w:eastAsia="zh-CN"/>
              </w:rPr>
              <w:t>at a conceptual level. It is also unclear how the state addresses correspondence between grade bands in the TESOL standards vs grade bands in the LAS Links, which do not correspond in K-3.</w:t>
            </w:r>
          </w:p>
          <w:p w14:paraId="3777EBBC" w14:textId="77777777" w:rsidR="004B0E92" w:rsidRDefault="004B0E92" w:rsidP="00385738">
            <w:pPr>
              <w:autoSpaceDE w:val="0"/>
              <w:autoSpaceDN w:val="0"/>
              <w:adjustRightInd w:val="0"/>
              <w:rPr>
                <w:sz w:val="20"/>
                <w:szCs w:val="20"/>
                <w:lang w:eastAsia="zh-CN"/>
              </w:rPr>
            </w:pPr>
          </w:p>
          <w:p w14:paraId="0E9B6E95" w14:textId="77777777" w:rsidR="004B0E92" w:rsidRDefault="004B0E92" w:rsidP="00385738">
            <w:pPr>
              <w:autoSpaceDE w:val="0"/>
              <w:autoSpaceDN w:val="0"/>
              <w:adjustRightInd w:val="0"/>
              <w:rPr>
                <w:sz w:val="20"/>
                <w:szCs w:val="20"/>
                <w:lang w:eastAsia="zh-CN"/>
              </w:rPr>
            </w:pPr>
            <w:r w:rsidRPr="006B5D67">
              <w:rPr>
                <w:sz w:val="20"/>
                <w:szCs w:val="20"/>
                <w:lang w:eastAsia="zh-CN"/>
              </w:rPr>
              <w:t xml:space="preserve">The LAS </w:t>
            </w:r>
            <w:r>
              <w:rPr>
                <w:sz w:val="20"/>
                <w:szCs w:val="20"/>
                <w:lang w:eastAsia="zh-CN"/>
              </w:rPr>
              <w:t xml:space="preserve">Links </w:t>
            </w:r>
            <w:r w:rsidRPr="006B5D67">
              <w:rPr>
                <w:sz w:val="20"/>
                <w:szCs w:val="20"/>
                <w:lang w:eastAsia="zh-CN"/>
              </w:rPr>
              <w:t xml:space="preserve">Technical manual (Chapter 2) describes appropriate test development procedures to support a technically sound assessment, although with little detail or supporting evidence. </w:t>
            </w:r>
          </w:p>
          <w:p w14:paraId="7BEDF117" w14:textId="77777777" w:rsidR="004B0E92" w:rsidRPr="00F66479" w:rsidRDefault="004B0E92" w:rsidP="00385738">
            <w:pPr>
              <w:autoSpaceDE w:val="0"/>
              <w:autoSpaceDN w:val="0"/>
              <w:adjustRightInd w:val="0"/>
              <w:rPr>
                <w:sz w:val="20"/>
                <w:szCs w:val="20"/>
              </w:rPr>
            </w:pPr>
          </w:p>
        </w:tc>
      </w:tr>
      <w:tr w:rsidR="004B0E92" w:rsidRPr="00532BBF" w14:paraId="53EFD5B6" w14:textId="77777777" w:rsidTr="00385738">
        <w:tc>
          <w:tcPr>
            <w:tcW w:w="13410" w:type="dxa"/>
            <w:gridSpan w:val="3"/>
            <w:shd w:val="clear" w:color="auto" w:fill="auto"/>
          </w:tcPr>
          <w:p w14:paraId="25A206E9" w14:textId="77777777" w:rsidR="004B0E92" w:rsidRPr="00532BBF" w:rsidRDefault="004B0E92" w:rsidP="00385738">
            <w:pPr>
              <w:pStyle w:val="Heading4"/>
            </w:pPr>
            <w:r>
              <w:t>Section 2.1</w:t>
            </w:r>
            <w:r w:rsidRPr="00532BBF">
              <w:t xml:space="preserve"> Summary Statement</w:t>
            </w:r>
          </w:p>
        </w:tc>
      </w:tr>
      <w:tr w:rsidR="004B0E92" w:rsidRPr="00532BBF" w14:paraId="7E923B31" w14:textId="77777777" w:rsidTr="00385738">
        <w:tc>
          <w:tcPr>
            <w:tcW w:w="13410" w:type="dxa"/>
            <w:gridSpan w:val="3"/>
            <w:shd w:val="clear" w:color="auto" w:fill="auto"/>
          </w:tcPr>
          <w:p w14:paraId="32E68262" w14:textId="77777777" w:rsidR="004B0E92" w:rsidRPr="00532BBF" w:rsidRDefault="004B0E92" w:rsidP="00385738">
            <w:pPr>
              <w:rPr>
                <w:sz w:val="20"/>
                <w:szCs w:val="20"/>
              </w:rPr>
            </w:pPr>
            <w:r w:rsidRPr="00532BBF">
              <w:rPr>
                <w:sz w:val="20"/>
                <w:szCs w:val="20"/>
              </w:rPr>
              <w:t>___ No additional evidence is required or</w:t>
            </w:r>
          </w:p>
          <w:p w14:paraId="5024A638" w14:textId="77777777" w:rsidR="004B0E92" w:rsidRPr="00532BBF" w:rsidRDefault="004B0E92" w:rsidP="00385738">
            <w:pPr>
              <w:rPr>
                <w:sz w:val="20"/>
                <w:szCs w:val="20"/>
              </w:rPr>
            </w:pPr>
          </w:p>
          <w:p w14:paraId="29098A29" w14:textId="77777777" w:rsidR="004B0E92" w:rsidRPr="00532BBF" w:rsidRDefault="004B0E92" w:rsidP="00385738">
            <w:pPr>
              <w:rPr>
                <w:sz w:val="20"/>
                <w:szCs w:val="20"/>
              </w:rPr>
            </w:pPr>
            <w:r>
              <w:rPr>
                <w:sz w:val="20"/>
                <w:szCs w:val="20"/>
              </w:rPr>
              <w:t>_ X</w:t>
            </w:r>
            <w:r w:rsidRPr="00532BBF">
              <w:rPr>
                <w:sz w:val="20"/>
                <w:szCs w:val="20"/>
              </w:rPr>
              <w:t>_ The following additional evidence is needed/provide brief rationale:</w:t>
            </w:r>
          </w:p>
          <w:p w14:paraId="6E061C3C" w14:textId="77777777" w:rsidR="004B0E92" w:rsidRDefault="004B0E92" w:rsidP="008D31CB">
            <w:pPr>
              <w:pStyle w:val="ListParagraph"/>
              <w:numPr>
                <w:ilvl w:val="0"/>
                <w:numId w:val="13"/>
              </w:numPr>
              <w:rPr>
                <w:sz w:val="20"/>
                <w:szCs w:val="20"/>
              </w:rPr>
            </w:pPr>
            <w:r>
              <w:rPr>
                <w:sz w:val="20"/>
                <w:szCs w:val="20"/>
              </w:rPr>
              <w:t>Evidence of te</w:t>
            </w:r>
            <w:r w:rsidRPr="00CE70F8">
              <w:rPr>
                <w:sz w:val="20"/>
                <w:szCs w:val="20"/>
              </w:rPr>
              <w:t xml:space="preserve">st blueprints </w:t>
            </w:r>
            <w:r>
              <w:rPr>
                <w:sz w:val="20"/>
                <w:szCs w:val="20"/>
              </w:rPr>
              <w:t xml:space="preserve">that provide more detail of technical quality, </w:t>
            </w:r>
            <w:r w:rsidRPr="00CE70F8">
              <w:rPr>
                <w:sz w:val="20"/>
                <w:szCs w:val="20"/>
              </w:rPr>
              <w:t xml:space="preserve">measure the depth and breadth </w:t>
            </w:r>
            <w:r w:rsidRPr="00926DB2">
              <w:rPr>
                <w:sz w:val="20"/>
                <w:szCs w:val="20"/>
              </w:rPr>
              <w:t>of</w:t>
            </w:r>
            <w:r w:rsidRPr="00926DB2">
              <w:rPr>
                <w:sz w:val="20"/>
              </w:rPr>
              <w:t> </w:t>
            </w:r>
            <w:r w:rsidRPr="00926DB2">
              <w:rPr>
                <w:sz w:val="20"/>
                <w:szCs w:val="20"/>
              </w:rPr>
              <w:t>the State’s ELP standards</w:t>
            </w:r>
            <w:r>
              <w:rPr>
                <w:sz w:val="20"/>
                <w:szCs w:val="20"/>
              </w:rPr>
              <w:t xml:space="preserve">, </w:t>
            </w:r>
            <w:r w:rsidRPr="00CE70F8">
              <w:rPr>
                <w:sz w:val="20"/>
                <w:szCs w:val="20"/>
              </w:rPr>
              <w:t>and support the intended interpre</w:t>
            </w:r>
            <w:r>
              <w:rPr>
                <w:sz w:val="20"/>
                <w:szCs w:val="20"/>
              </w:rPr>
              <w:t>tations and uses of the results;</w:t>
            </w:r>
          </w:p>
          <w:p w14:paraId="7B7625BA" w14:textId="77777777" w:rsidR="004B0E92" w:rsidRPr="00532BBF" w:rsidRDefault="004B0E92" w:rsidP="008D31CB">
            <w:pPr>
              <w:pStyle w:val="ListParagraph"/>
              <w:numPr>
                <w:ilvl w:val="0"/>
                <w:numId w:val="3"/>
              </w:numPr>
              <w:ind w:left="337" w:hanging="337"/>
              <w:rPr>
                <w:sz w:val="20"/>
                <w:szCs w:val="20"/>
              </w:rPr>
            </w:pPr>
            <w:r w:rsidRPr="00926DB2">
              <w:rPr>
                <w:sz w:val="20"/>
                <w:szCs w:val="20"/>
              </w:rPr>
              <w:t>Evidence of detailed processes to ensure that the ELP assessment is tailored to the knowledge and skills included in the State’s ELP standards and reflects appropriate inclusion of the range of co</w:t>
            </w:r>
            <w:r>
              <w:rPr>
                <w:sz w:val="20"/>
                <w:szCs w:val="20"/>
              </w:rPr>
              <w:t>mplexity found in the standards</w:t>
            </w:r>
          </w:p>
        </w:tc>
      </w:tr>
    </w:tbl>
    <w:p w14:paraId="4AF5B2EC" w14:textId="77777777" w:rsidR="004B0E92" w:rsidRDefault="004B0E92" w:rsidP="004B0E92"/>
    <w:p w14:paraId="4EDDE5C5" w14:textId="77777777" w:rsidR="004B0E92" w:rsidRDefault="004B0E92" w:rsidP="004B0E92">
      <w:pPr>
        <w:pStyle w:val="Heading2"/>
      </w:pPr>
      <w:r>
        <w:br w:type="page"/>
      </w:r>
      <w:bookmarkStart w:id="11" w:name="_Toc3354961"/>
      <w:r w:rsidRPr="009678AC">
        <w:lastRenderedPageBreak/>
        <w:t>Critical Element 2.2 – Item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004AB961"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31C48ED5"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CA85A2B"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19806D4"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331CA1B2" w14:textId="77777777" w:rsidTr="00385738">
        <w:tc>
          <w:tcPr>
            <w:tcW w:w="3618" w:type="dxa"/>
            <w:shd w:val="clear" w:color="auto" w:fill="auto"/>
          </w:tcPr>
          <w:p w14:paraId="4DB660DB" w14:textId="77777777" w:rsidR="004B0E92" w:rsidRPr="001C5825" w:rsidRDefault="004B0E92" w:rsidP="00385738">
            <w:pPr>
              <w:rPr>
                <w:sz w:val="20"/>
                <w:szCs w:val="20"/>
              </w:rPr>
            </w:pPr>
            <w:r w:rsidRPr="001C5825">
              <w:rPr>
                <w:sz w:val="20"/>
                <w:szCs w:val="20"/>
              </w:rPr>
              <w:t>The State uses reasonable and technically sound procedures to develop and select items to:</w:t>
            </w:r>
          </w:p>
          <w:p w14:paraId="68AE8840" w14:textId="77777777" w:rsidR="004B0E92" w:rsidRPr="001C5825" w:rsidRDefault="004B0E92" w:rsidP="008D31CB">
            <w:pPr>
              <w:pStyle w:val="ListParagraph"/>
              <w:numPr>
                <w:ilvl w:val="0"/>
                <w:numId w:val="25"/>
              </w:numPr>
              <w:ind w:left="450"/>
              <w:rPr>
                <w:sz w:val="20"/>
                <w:szCs w:val="20"/>
              </w:rPr>
            </w:pPr>
            <w:r w:rsidRPr="001C5825">
              <w:rPr>
                <w:sz w:val="20"/>
                <w:szCs w:val="20"/>
              </w:rPr>
              <w:t xml:space="preserve">Assess student English language proficiency based on the </w:t>
            </w:r>
            <w:r w:rsidRPr="001C5825">
              <w:rPr>
                <w:b/>
                <w:i/>
                <w:sz w:val="20"/>
                <w:szCs w:val="20"/>
              </w:rPr>
              <w:t>State’s ELP standards</w:t>
            </w:r>
            <w:r w:rsidRPr="001C5825">
              <w:rPr>
                <w:sz w:val="20"/>
                <w:szCs w:val="20"/>
              </w:rPr>
              <w:t xml:space="preserve"> in terms of content and language processes.</w:t>
            </w:r>
          </w:p>
          <w:p w14:paraId="0AADED8C" w14:textId="77777777" w:rsidR="004B0E92" w:rsidRPr="00CA3E2C" w:rsidRDefault="004B0E92" w:rsidP="00385738">
            <w:pPr>
              <w:pStyle w:val="ListParagraph"/>
              <w:ind w:left="450"/>
              <w:rPr>
                <w:sz w:val="20"/>
                <w:szCs w:val="20"/>
              </w:rPr>
            </w:pPr>
          </w:p>
        </w:tc>
        <w:tc>
          <w:tcPr>
            <w:tcW w:w="4779" w:type="dxa"/>
            <w:shd w:val="clear" w:color="auto" w:fill="auto"/>
          </w:tcPr>
          <w:p w14:paraId="4D7ED5B9" w14:textId="77777777" w:rsidR="004B0E92" w:rsidRPr="00731879" w:rsidRDefault="004B0E92" w:rsidP="00385738">
            <w:pPr>
              <w:autoSpaceDE w:val="0"/>
              <w:autoSpaceDN w:val="0"/>
              <w:adjustRightInd w:val="0"/>
              <w:rPr>
                <w:sz w:val="20"/>
                <w:szCs w:val="20"/>
              </w:rPr>
            </w:pPr>
            <w:r w:rsidRPr="00731879">
              <w:rPr>
                <w:sz w:val="20"/>
                <w:szCs w:val="20"/>
              </w:rPr>
              <w:t>DRC LAS Links® Second Edition, Forms C and D</w:t>
            </w:r>
          </w:p>
          <w:p w14:paraId="15D9E716" w14:textId="77777777" w:rsidR="004B0E92" w:rsidRDefault="004B0E92" w:rsidP="00385738">
            <w:pPr>
              <w:rPr>
                <w:sz w:val="20"/>
                <w:szCs w:val="20"/>
              </w:rPr>
            </w:pPr>
            <w:r w:rsidRPr="00731879">
              <w:rPr>
                <w:sz w:val="20"/>
                <w:szCs w:val="20"/>
              </w:rPr>
              <w:t>Technical Manual</w:t>
            </w:r>
            <w:r>
              <w:rPr>
                <w:sz w:val="20"/>
                <w:szCs w:val="20"/>
              </w:rPr>
              <w:t>: starting on pg. 24</w:t>
            </w:r>
          </w:p>
          <w:p w14:paraId="6382F867" w14:textId="77777777" w:rsidR="004B0E92" w:rsidRDefault="004B0E92" w:rsidP="00385738">
            <w:pPr>
              <w:rPr>
                <w:sz w:val="20"/>
                <w:szCs w:val="20"/>
              </w:rPr>
            </w:pPr>
          </w:p>
          <w:p w14:paraId="32807736" w14:textId="77777777" w:rsidR="004B0E92" w:rsidRPr="0077197F" w:rsidRDefault="004B0E92" w:rsidP="00385738">
            <w:pPr>
              <w:rPr>
                <w:sz w:val="20"/>
                <w:szCs w:val="20"/>
              </w:rPr>
            </w:pPr>
            <w:r>
              <w:rPr>
                <w:sz w:val="20"/>
                <w:szCs w:val="20"/>
              </w:rPr>
              <w:t>The LAS Links Approach to Alignment and Item Development was not cited by the state for this CE here and could provide evidence, however, it is insufficiently detailed to satisfy the requirements of this Critical Element.</w:t>
            </w:r>
          </w:p>
        </w:tc>
        <w:tc>
          <w:tcPr>
            <w:tcW w:w="5013" w:type="dxa"/>
            <w:shd w:val="clear" w:color="auto" w:fill="auto"/>
          </w:tcPr>
          <w:p w14:paraId="056A2CC3" w14:textId="77777777" w:rsidR="004B0E92" w:rsidRDefault="004B0E92" w:rsidP="00385738">
            <w:pPr>
              <w:autoSpaceDE w:val="0"/>
              <w:autoSpaceDN w:val="0"/>
              <w:adjustRightInd w:val="0"/>
              <w:rPr>
                <w:sz w:val="20"/>
                <w:szCs w:val="20"/>
                <w:lang w:eastAsia="zh-CN"/>
              </w:rPr>
            </w:pPr>
            <w:r w:rsidRPr="008A12EB">
              <w:rPr>
                <w:sz w:val="20"/>
                <w:szCs w:val="20"/>
                <w:lang w:eastAsia="zh-CN"/>
              </w:rPr>
              <w:t xml:space="preserve">The LAS </w:t>
            </w:r>
            <w:r>
              <w:rPr>
                <w:sz w:val="20"/>
                <w:szCs w:val="20"/>
                <w:lang w:eastAsia="zh-CN"/>
              </w:rPr>
              <w:t xml:space="preserve">Links </w:t>
            </w:r>
            <w:r w:rsidRPr="008A12EB">
              <w:rPr>
                <w:sz w:val="20"/>
                <w:szCs w:val="20"/>
                <w:lang w:eastAsia="zh-CN"/>
              </w:rPr>
              <w:t xml:space="preserve">Technical manual (Chapter 2, p. 25-35) describes technically sound test development procedures, including expert input on test design, rationale for choices of item types by domain, qualified item writers, application of general principles and detailed item specifications, item review criteria, and use of multiple statistical criteria to select items for forms. However, all descriptions are </w:t>
            </w:r>
            <w:r>
              <w:rPr>
                <w:sz w:val="20"/>
                <w:szCs w:val="20"/>
                <w:lang w:eastAsia="zh-CN"/>
              </w:rPr>
              <w:t xml:space="preserve">only </w:t>
            </w:r>
            <w:r w:rsidRPr="008A12EB">
              <w:rPr>
                <w:sz w:val="20"/>
                <w:szCs w:val="20"/>
                <w:lang w:eastAsia="zh-CN"/>
              </w:rPr>
              <w:t xml:space="preserve">about general processes and criteria, </w:t>
            </w:r>
            <w:r>
              <w:rPr>
                <w:sz w:val="20"/>
                <w:szCs w:val="20"/>
                <w:lang w:eastAsia="zh-CN"/>
              </w:rPr>
              <w:t>and peers could find no specific, detailed</w:t>
            </w:r>
            <w:r w:rsidRPr="008A12EB">
              <w:rPr>
                <w:sz w:val="20"/>
                <w:szCs w:val="20"/>
                <w:lang w:eastAsia="zh-CN"/>
              </w:rPr>
              <w:t xml:space="preserve"> evidence </w:t>
            </w:r>
            <w:r>
              <w:rPr>
                <w:sz w:val="20"/>
                <w:szCs w:val="20"/>
                <w:lang w:eastAsia="zh-CN"/>
              </w:rPr>
              <w:t xml:space="preserve">to </w:t>
            </w:r>
            <w:r w:rsidRPr="008A12EB">
              <w:rPr>
                <w:sz w:val="20"/>
                <w:szCs w:val="20"/>
                <w:lang w:eastAsia="zh-CN"/>
              </w:rPr>
              <w:t xml:space="preserve">evaluate. </w:t>
            </w:r>
          </w:p>
          <w:p w14:paraId="5543D5A8" w14:textId="77777777" w:rsidR="004B0E92" w:rsidRDefault="004B0E92" w:rsidP="00385738">
            <w:pPr>
              <w:autoSpaceDE w:val="0"/>
              <w:autoSpaceDN w:val="0"/>
              <w:adjustRightInd w:val="0"/>
              <w:rPr>
                <w:sz w:val="20"/>
                <w:szCs w:val="20"/>
                <w:lang w:eastAsia="zh-CN"/>
              </w:rPr>
            </w:pPr>
          </w:p>
          <w:p w14:paraId="26687D4D" w14:textId="77777777" w:rsidR="004B0E92" w:rsidRPr="007E039A" w:rsidRDefault="004B0E92" w:rsidP="00385738">
            <w:pPr>
              <w:rPr>
                <w:sz w:val="20"/>
                <w:szCs w:val="20"/>
              </w:rPr>
            </w:pPr>
            <w:r>
              <w:rPr>
                <w:sz w:val="20"/>
                <w:szCs w:val="20"/>
                <w:lang w:eastAsia="zh-CN"/>
              </w:rPr>
              <w:t xml:space="preserve">For example, </w:t>
            </w:r>
            <w:r>
              <w:rPr>
                <w:sz w:val="20"/>
                <w:szCs w:val="20"/>
              </w:rPr>
              <w:t>t</w:t>
            </w:r>
            <w:r w:rsidRPr="007E039A">
              <w:rPr>
                <w:sz w:val="20"/>
                <w:szCs w:val="20"/>
              </w:rPr>
              <w:t>he references to the development of the items date back to 2013 and earlier. It is not clear that there is an ongoing effort to refresh the items, or if MS has any opportu</w:t>
            </w:r>
            <w:r>
              <w:rPr>
                <w:sz w:val="20"/>
                <w:szCs w:val="20"/>
              </w:rPr>
              <w:t>nity to offer representatives to participate in</w:t>
            </w:r>
            <w:r w:rsidRPr="007E039A">
              <w:rPr>
                <w:sz w:val="20"/>
                <w:szCs w:val="20"/>
              </w:rPr>
              <w:t xml:space="preserve"> the process. There is only a general description of the educators involved in the original process</w:t>
            </w:r>
            <w:r>
              <w:rPr>
                <w:sz w:val="20"/>
                <w:szCs w:val="20"/>
              </w:rPr>
              <w:t>, no detail about the qualifications of the item writers, nor detail about the actual training provided to item writers</w:t>
            </w:r>
            <w:r w:rsidRPr="007E039A">
              <w:rPr>
                <w:sz w:val="20"/>
                <w:szCs w:val="20"/>
              </w:rPr>
              <w:t>.</w:t>
            </w:r>
          </w:p>
          <w:p w14:paraId="119BC2B3" w14:textId="77777777" w:rsidR="004B0E92" w:rsidRPr="008A12EB" w:rsidRDefault="004B0E92" w:rsidP="00385738">
            <w:pPr>
              <w:autoSpaceDE w:val="0"/>
              <w:autoSpaceDN w:val="0"/>
              <w:adjustRightInd w:val="0"/>
              <w:rPr>
                <w:sz w:val="20"/>
                <w:szCs w:val="20"/>
                <w:lang w:eastAsia="zh-CN"/>
              </w:rPr>
            </w:pPr>
          </w:p>
          <w:p w14:paraId="1F890AB2" w14:textId="77777777" w:rsidR="004B0E92" w:rsidRPr="008A12EB" w:rsidRDefault="004B0E92" w:rsidP="00385738">
            <w:pPr>
              <w:autoSpaceDE w:val="0"/>
              <w:autoSpaceDN w:val="0"/>
              <w:adjustRightInd w:val="0"/>
              <w:rPr>
                <w:sz w:val="20"/>
                <w:szCs w:val="20"/>
                <w:lang w:eastAsia="zh-CN"/>
              </w:rPr>
            </w:pPr>
            <w:r w:rsidRPr="008A12EB">
              <w:rPr>
                <w:sz w:val="20"/>
                <w:szCs w:val="20"/>
                <w:lang w:eastAsia="zh-CN"/>
              </w:rPr>
              <w:t>Concerns about alignment to the state’s ELP standards are noted in CE</w:t>
            </w:r>
            <w:r>
              <w:rPr>
                <w:sz w:val="20"/>
                <w:szCs w:val="20"/>
                <w:lang w:eastAsia="zh-CN"/>
              </w:rPr>
              <w:t xml:space="preserve"> </w:t>
            </w:r>
            <w:r w:rsidRPr="008A12EB">
              <w:rPr>
                <w:sz w:val="20"/>
                <w:szCs w:val="20"/>
                <w:lang w:eastAsia="zh-CN"/>
              </w:rPr>
              <w:t>2.1 and CE 3.1.</w:t>
            </w:r>
          </w:p>
          <w:p w14:paraId="676C14F2" w14:textId="77777777" w:rsidR="004B0E92" w:rsidRDefault="004B0E92" w:rsidP="00385738">
            <w:pPr>
              <w:autoSpaceDE w:val="0"/>
              <w:autoSpaceDN w:val="0"/>
              <w:adjustRightInd w:val="0"/>
              <w:rPr>
                <w:color w:val="0070C0"/>
                <w:sz w:val="20"/>
                <w:szCs w:val="20"/>
                <w:lang w:eastAsia="zh-CN"/>
              </w:rPr>
            </w:pPr>
          </w:p>
          <w:p w14:paraId="386C704A" w14:textId="77777777" w:rsidR="004B0E92" w:rsidRPr="0077197F" w:rsidRDefault="004B0E92" w:rsidP="00385738">
            <w:pPr>
              <w:rPr>
                <w:sz w:val="20"/>
                <w:szCs w:val="20"/>
              </w:rPr>
            </w:pPr>
            <w:r w:rsidRPr="008A12EB">
              <w:rPr>
                <w:sz w:val="20"/>
                <w:szCs w:val="20"/>
              </w:rPr>
              <w:t>Peers could not find evidence that accessibility tools or their potential effect on the response process</w:t>
            </w:r>
            <w:r>
              <w:rPr>
                <w:sz w:val="20"/>
                <w:szCs w:val="20"/>
              </w:rPr>
              <w:t>es</w:t>
            </w:r>
            <w:r w:rsidRPr="008A12EB">
              <w:rPr>
                <w:sz w:val="20"/>
                <w:szCs w:val="20"/>
              </w:rPr>
              <w:t xml:space="preserve"> were considered during item development. Other response process concerns are noted in CE 3.2.</w:t>
            </w:r>
          </w:p>
        </w:tc>
      </w:tr>
      <w:tr w:rsidR="004B0E92" w:rsidRPr="00532BBF" w14:paraId="3A91B3B5" w14:textId="77777777" w:rsidTr="00385738">
        <w:tc>
          <w:tcPr>
            <w:tcW w:w="13410" w:type="dxa"/>
            <w:gridSpan w:val="3"/>
            <w:shd w:val="clear" w:color="auto" w:fill="auto"/>
          </w:tcPr>
          <w:p w14:paraId="6C740932" w14:textId="77777777" w:rsidR="004B0E92" w:rsidRPr="00532BBF" w:rsidRDefault="004B0E92" w:rsidP="00385738">
            <w:pPr>
              <w:pStyle w:val="Heading4"/>
            </w:pPr>
            <w:r>
              <w:t>Section 2.2</w:t>
            </w:r>
            <w:r w:rsidRPr="00532BBF">
              <w:t xml:space="preserve"> Summary Statement</w:t>
            </w:r>
          </w:p>
        </w:tc>
      </w:tr>
      <w:tr w:rsidR="004B0E92" w:rsidRPr="00532BBF" w14:paraId="3EE22926" w14:textId="77777777" w:rsidTr="00385738">
        <w:tc>
          <w:tcPr>
            <w:tcW w:w="13410" w:type="dxa"/>
            <w:gridSpan w:val="3"/>
            <w:shd w:val="clear" w:color="auto" w:fill="auto"/>
          </w:tcPr>
          <w:p w14:paraId="02A7FA01" w14:textId="77777777" w:rsidR="004B0E92" w:rsidRPr="00532BBF" w:rsidRDefault="004B0E92" w:rsidP="00385738">
            <w:pPr>
              <w:rPr>
                <w:sz w:val="20"/>
                <w:szCs w:val="20"/>
              </w:rPr>
            </w:pPr>
            <w:r w:rsidRPr="00532BBF">
              <w:rPr>
                <w:sz w:val="20"/>
                <w:szCs w:val="20"/>
              </w:rPr>
              <w:t>___ No additional evidence is required or</w:t>
            </w:r>
          </w:p>
          <w:p w14:paraId="012EA447" w14:textId="77777777" w:rsidR="004B0E92" w:rsidRPr="00532BBF" w:rsidRDefault="004B0E92" w:rsidP="00385738">
            <w:pPr>
              <w:rPr>
                <w:sz w:val="20"/>
                <w:szCs w:val="20"/>
              </w:rPr>
            </w:pPr>
          </w:p>
          <w:p w14:paraId="7560D5D7" w14:textId="77777777" w:rsidR="004B0E92" w:rsidRPr="00532BBF" w:rsidRDefault="004B0E9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1EF883BA" w14:textId="77777777" w:rsidR="004B0E92" w:rsidRPr="00532BBF" w:rsidRDefault="004B0E92" w:rsidP="008D31CB">
            <w:pPr>
              <w:numPr>
                <w:ilvl w:val="0"/>
                <w:numId w:val="3"/>
              </w:numPr>
              <w:ind w:left="337"/>
              <w:rPr>
                <w:sz w:val="20"/>
                <w:szCs w:val="20"/>
              </w:rPr>
            </w:pPr>
            <w:r>
              <w:rPr>
                <w:sz w:val="20"/>
                <w:szCs w:val="20"/>
              </w:rPr>
              <w:t>Detailed evidence that s</w:t>
            </w:r>
            <w:r w:rsidRPr="001C5825">
              <w:rPr>
                <w:sz w:val="20"/>
                <w:szCs w:val="20"/>
              </w:rPr>
              <w:t>tate uses reasonable and technically sound procedures to develop and select items</w:t>
            </w:r>
          </w:p>
        </w:tc>
      </w:tr>
    </w:tbl>
    <w:p w14:paraId="05516196" w14:textId="77777777" w:rsidR="004B0E92" w:rsidRDefault="004B0E92" w:rsidP="004B0E92">
      <w:pPr>
        <w:rPr>
          <w:b/>
          <w:sz w:val="20"/>
          <w:szCs w:val="20"/>
        </w:rPr>
      </w:pPr>
    </w:p>
    <w:p w14:paraId="1E19759C" w14:textId="77777777" w:rsidR="004B0E92" w:rsidRDefault="004B0E92" w:rsidP="004B0E92">
      <w:pPr>
        <w:pStyle w:val="Heading2"/>
      </w:pPr>
      <w:r>
        <w:br w:type="page"/>
      </w:r>
      <w:bookmarkStart w:id="12" w:name="_Toc3354962"/>
      <w:r w:rsidRPr="009678AC">
        <w:lastRenderedPageBreak/>
        <w:t>Critical Element 2.3 – Test Administration</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3555E191"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51C1AB67"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DD95E12"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FA8F3C"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01D1B9BD" w14:textId="77777777" w:rsidTr="00385738">
        <w:tc>
          <w:tcPr>
            <w:tcW w:w="3618" w:type="dxa"/>
            <w:shd w:val="clear" w:color="auto" w:fill="auto"/>
          </w:tcPr>
          <w:p w14:paraId="3ABB3950" w14:textId="77777777" w:rsidR="004B0E92" w:rsidRPr="001C5825" w:rsidRDefault="004B0E92" w:rsidP="00385738">
            <w:pPr>
              <w:spacing w:before="80"/>
              <w:rPr>
                <w:sz w:val="20"/>
                <w:szCs w:val="20"/>
              </w:rPr>
            </w:pPr>
            <w:r w:rsidRPr="001C5825">
              <w:rPr>
                <w:sz w:val="20"/>
                <w:szCs w:val="20"/>
              </w:rPr>
              <w:t>The State implements policies and procedures for standardized test administration; specifically, the State:</w:t>
            </w:r>
          </w:p>
          <w:p w14:paraId="3B929066" w14:textId="77777777" w:rsidR="004B0E92" w:rsidRPr="001C5825" w:rsidRDefault="004B0E92" w:rsidP="008D31CB">
            <w:pPr>
              <w:pStyle w:val="ListParagraph"/>
              <w:numPr>
                <w:ilvl w:val="0"/>
                <w:numId w:val="15"/>
              </w:numPr>
              <w:rPr>
                <w:sz w:val="20"/>
                <w:szCs w:val="20"/>
              </w:rPr>
            </w:pPr>
            <w:r w:rsidRPr="001C5825">
              <w:rPr>
                <w:sz w:val="20"/>
                <w:szCs w:val="20"/>
              </w:rPr>
              <w:t xml:space="preserve">Has established and communicates to educators clear, thorough and consistent standardized procedures for the administration of its assessments, including administration with accommodations;  </w:t>
            </w:r>
          </w:p>
          <w:p w14:paraId="00BA66D6" w14:textId="77777777" w:rsidR="004B0E92" w:rsidRPr="001C5825" w:rsidRDefault="004B0E92" w:rsidP="008D31CB">
            <w:pPr>
              <w:pStyle w:val="ListParagraph"/>
              <w:numPr>
                <w:ilvl w:val="0"/>
                <w:numId w:val="15"/>
              </w:numPr>
              <w:rPr>
                <w:sz w:val="20"/>
                <w:szCs w:val="20"/>
              </w:rPr>
            </w:pPr>
            <w:r w:rsidRPr="001C5825">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0A07C1B0" w14:textId="77777777" w:rsidR="004B0E92" w:rsidRPr="001C5825" w:rsidRDefault="004B0E92" w:rsidP="008D31CB">
            <w:pPr>
              <w:pStyle w:val="ListParagraph"/>
              <w:numPr>
                <w:ilvl w:val="0"/>
                <w:numId w:val="15"/>
              </w:numPr>
              <w:rPr>
                <w:sz w:val="20"/>
                <w:szCs w:val="20"/>
              </w:rPr>
            </w:pPr>
            <w:r w:rsidRPr="001C5825">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669E3B47" w14:textId="77777777" w:rsidR="004B0E92" w:rsidRDefault="004B0E92" w:rsidP="00385738">
            <w:pPr>
              <w:pStyle w:val="ListParagraph"/>
              <w:ind w:left="0"/>
              <w:rPr>
                <w:sz w:val="20"/>
                <w:szCs w:val="20"/>
              </w:rPr>
            </w:pPr>
            <w:r w:rsidRPr="00EC1E59">
              <w:rPr>
                <w:sz w:val="20"/>
                <w:szCs w:val="20"/>
              </w:rPr>
              <w:t>LAS Links Test Security Overview, January 2019</w:t>
            </w:r>
          </w:p>
          <w:p w14:paraId="5F54FCED" w14:textId="77777777" w:rsidR="004B0E92" w:rsidRPr="00EC1E59" w:rsidRDefault="004B0E92" w:rsidP="00385738">
            <w:pPr>
              <w:pStyle w:val="ListParagraph"/>
              <w:ind w:left="0"/>
              <w:rPr>
                <w:sz w:val="20"/>
                <w:szCs w:val="20"/>
              </w:rPr>
            </w:pPr>
          </w:p>
          <w:p w14:paraId="5A78086E" w14:textId="77777777" w:rsidR="004B0E92" w:rsidRDefault="004B0E92" w:rsidP="00385738">
            <w:pPr>
              <w:pStyle w:val="ListParagraph"/>
              <w:ind w:left="0"/>
              <w:rPr>
                <w:sz w:val="20"/>
                <w:szCs w:val="20"/>
              </w:rPr>
            </w:pPr>
            <w:r w:rsidRPr="00EC1E59">
              <w:rPr>
                <w:sz w:val="20"/>
                <w:szCs w:val="20"/>
              </w:rPr>
              <w:t>LAS Links Site Technology Readiness Checklist</w:t>
            </w:r>
          </w:p>
          <w:p w14:paraId="49E85939" w14:textId="77777777" w:rsidR="004B0E92" w:rsidRDefault="004B0E92" w:rsidP="00385738">
            <w:pPr>
              <w:pStyle w:val="ListParagraph"/>
              <w:ind w:left="0"/>
              <w:rPr>
                <w:sz w:val="20"/>
                <w:szCs w:val="20"/>
              </w:rPr>
            </w:pPr>
          </w:p>
          <w:p w14:paraId="71B3C3CF" w14:textId="77777777" w:rsidR="004B0E92" w:rsidRDefault="004B0E92" w:rsidP="00385738">
            <w:pPr>
              <w:pStyle w:val="ListParagraph"/>
              <w:ind w:left="0"/>
              <w:rPr>
                <w:sz w:val="20"/>
                <w:szCs w:val="20"/>
              </w:rPr>
            </w:pPr>
            <w:r w:rsidRPr="00EC1E59">
              <w:rPr>
                <w:sz w:val="20"/>
                <w:szCs w:val="20"/>
              </w:rPr>
              <w:t>LAS Links Portal User Guide 2019</w:t>
            </w:r>
          </w:p>
          <w:p w14:paraId="186BCFD1" w14:textId="77777777" w:rsidR="004B0E92" w:rsidRDefault="004B0E92" w:rsidP="00385738">
            <w:pPr>
              <w:pStyle w:val="ListParagraph"/>
              <w:ind w:left="0"/>
              <w:rPr>
                <w:sz w:val="20"/>
                <w:szCs w:val="20"/>
              </w:rPr>
            </w:pPr>
          </w:p>
          <w:p w14:paraId="7B1042E3" w14:textId="77777777" w:rsidR="004B0E92" w:rsidRDefault="004B0E92" w:rsidP="00385738">
            <w:pPr>
              <w:pStyle w:val="ListParagraph"/>
              <w:ind w:left="0"/>
              <w:rPr>
                <w:sz w:val="20"/>
                <w:szCs w:val="20"/>
              </w:rPr>
            </w:pPr>
            <w:r w:rsidRPr="00EC1E59">
              <w:rPr>
                <w:sz w:val="20"/>
                <w:szCs w:val="20"/>
              </w:rPr>
              <w:t>MS Portal Permissions Matrix</w:t>
            </w:r>
          </w:p>
          <w:p w14:paraId="39E306FC" w14:textId="77777777" w:rsidR="004B0E92" w:rsidRDefault="004B0E92" w:rsidP="00385738">
            <w:pPr>
              <w:pStyle w:val="ListParagraph"/>
              <w:ind w:left="0"/>
              <w:rPr>
                <w:sz w:val="20"/>
                <w:szCs w:val="20"/>
              </w:rPr>
            </w:pPr>
          </w:p>
          <w:p w14:paraId="558FC996" w14:textId="77777777" w:rsidR="004B0E92" w:rsidRDefault="004B0E92" w:rsidP="00385738">
            <w:pPr>
              <w:pStyle w:val="ListParagraph"/>
              <w:ind w:left="0"/>
              <w:rPr>
                <w:sz w:val="20"/>
                <w:szCs w:val="20"/>
              </w:rPr>
            </w:pPr>
            <w:r w:rsidRPr="00EC1E59">
              <w:rPr>
                <w:sz w:val="20"/>
                <w:szCs w:val="20"/>
              </w:rPr>
              <w:t>MDE 2019 LAS Links Training - Registration List</w:t>
            </w:r>
          </w:p>
          <w:p w14:paraId="083569BF" w14:textId="77777777" w:rsidR="004B0E92" w:rsidRDefault="004B0E92" w:rsidP="00385738">
            <w:pPr>
              <w:pStyle w:val="ListParagraph"/>
              <w:ind w:left="0"/>
              <w:rPr>
                <w:sz w:val="20"/>
                <w:szCs w:val="20"/>
              </w:rPr>
            </w:pPr>
          </w:p>
          <w:p w14:paraId="0426673B" w14:textId="77777777" w:rsidR="004B0E92" w:rsidRDefault="004B0E92" w:rsidP="00385738">
            <w:pPr>
              <w:pStyle w:val="ListParagraph"/>
              <w:ind w:left="0"/>
              <w:rPr>
                <w:sz w:val="20"/>
                <w:szCs w:val="20"/>
              </w:rPr>
            </w:pPr>
            <w:r w:rsidRPr="00EC1E59">
              <w:rPr>
                <w:sz w:val="20"/>
                <w:szCs w:val="20"/>
              </w:rPr>
              <w:t>MDE_2019 LAS Links Training Attendance Sign-in/out Sheets</w:t>
            </w:r>
          </w:p>
          <w:p w14:paraId="505307AB" w14:textId="77777777" w:rsidR="004B0E92" w:rsidRDefault="004B0E92" w:rsidP="00385738">
            <w:pPr>
              <w:pStyle w:val="ListParagraph"/>
              <w:ind w:left="0"/>
              <w:rPr>
                <w:sz w:val="20"/>
                <w:szCs w:val="20"/>
              </w:rPr>
            </w:pPr>
          </w:p>
          <w:p w14:paraId="1C59FEAB" w14:textId="77777777" w:rsidR="004B0E92" w:rsidRDefault="004B0E92" w:rsidP="00385738">
            <w:pPr>
              <w:pStyle w:val="ListParagraph"/>
              <w:ind w:left="0"/>
              <w:rPr>
                <w:sz w:val="20"/>
                <w:szCs w:val="20"/>
              </w:rPr>
            </w:pPr>
            <w:r w:rsidRPr="00EC1E59">
              <w:rPr>
                <w:sz w:val="20"/>
                <w:szCs w:val="20"/>
              </w:rPr>
              <w:t>Mississippi Testi</w:t>
            </w:r>
            <w:r>
              <w:rPr>
                <w:sz w:val="20"/>
                <w:szCs w:val="20"/>
              </w:rPr>
              <w:t>ng Accommodations Manual -Novemb</w:t>
            </w:r>
            <w:r w:rsidRPr="00EC1E59">
              <w:rPr>
                <w:sz w:val="20"/>
                <w:szCs w:val="20"/>
              </w:rPr>
              <w:t>er 2017</w:t>
            </w:r>
          </w:p>
          <w:p w14:paraId="438BADE7" w14:textId="77777777" w:rsidR="004B0E92" w:rsidRDefault="004B0E92" w:rsidP="00385738">
            <w:pPr>
              <w:pStyle w:val="ListParagraph"/>
              <w:ind w:left="0"/>
              <w:rPr>
                <w:sz w:val="20"/>
                <w:szCs w:val="20"/>
              </w:rPr>
            </w:pPr>
          </w:p>
          <w:p w14:paraId="609B5134" w14:textId="77777777" w:rsidR="004B0E92" w:rsidRDefault="004B0E92" w:rsidP="00385738">
            <w:pPr>
              <w:pStyle w:val="ListParagraph"/>
              <w:ind w:left="0"/>
              <w:rPr>
                <w:sz w:val="20"/>
                <w:szCs w:val="20"/>
              </w:rPr>
            </w:pPr>
            <w:r w:rsidRPr="00EC1E59">
              <w:rPr>
                <w:sz w:val="20"/>
                <w:szCs w:val="20"/>
              </w:rPr>
              <w:t>ELPT Administration Training PPT - Spring 2019</w:t>
            </w:r>
          </w:p>
          <w:p w14:paraId="4187335F" w14:textId="77777777" w:rsidR="004B0E92" w:rsidRDefault="004B0E92" w:rsidP="00385738">
            <w:pPr>
              <w:pStyle w:val="ListParagraph"/>
              <w:ind w:left="0"/>
              <w:rPr>
                <w:sz w:val="20"/>
                <w:szCs w:val="20"/>
              </w:rPr>
            </w:pPr>
          </w:p>
          <w:p w14:paraId="7ACAAA89" w14:textId="77777777" w:rsidR="004B0E92" w:rsidRDefault="004B0E92" w:rsidP="00385738">
            <w:pPr>
              <w:pStyle w:val="ListParagraph"/>
              <w:ind w:left="0"/>
              <w:rPr>
                <w:color w:val="FF0000"/>
                <w:sz w:val="20"/>
                <w:szCs w:val="20"/>
              </w:rPr>
            </w:pPr>
            <w:r w:rsidRPr="001C5825">
              <w:rPr>
                <w:sz w:val="20"/>
                <w:szCs w:val="20"/>
              </w:rPr>
              <w:t>MS English Language Proficiency Test (ELPT) –DTC Training - Winter 2019</w:t>
            </w:r>
            <w:r>
              <w:rPr>
                <w:color w:val="FF0000"/>
                <w:sz w:val="20"/>
                <w:szCs w:val="20"/>
              </w:rPr>
              <w:t xml:space="preserve"> </w:t>
            </w:r>
          </w:p>
          <w:p w14:paraId="4BFD409B" w14:textId="77777777" w:rsidR="004B0E92" w:rsidRDefault="004B0E92" w:rsidP="00385738">
            <w:pPr>
              <w:pStyle w:val="ListParagraph"/>
              <w:ind w:left="0"/>
              <w:rPr>
                <w:color w:val="FF0000"/>
                <w:sz w:val="20"/>
                <w:szCs w:val="20"/>
              </w:rPr>
            </w:pPr>
          </w:p>
          <w:p w14:paraId="4DA45772" w14:textId="77777777" w:rsidR="004B0E92" w:rsidRDefault="004B0E92" w:rsidP="00385738">
            <w:pPr>
              <w:pStyle w:val="ListParagraph"/>
              <w:ind w:left="0"/>
              <w:rPr>
                <w:sz w:val="20"/>
                <w:szCs w:val="20"/>
              </w:rPr>
            </w:pPr>
            <w:r w:rsidRPr="00EC1E59">
              <w:rPr>
                <w:sz w:val="20"/>
                <w:szCs w:val="20"/>
              </w:rPr>
              <w:t>MS LAS Links Test Coordinator Manual 2019 -Paper-based</w:t>
            </w:r>
          </w:p>
          <w:p w14:paraId="34BB81CA" w14:textId="77777777" w:rsidR="004B0E92" w:rsidRDefault="004B0E92" w:rsidP="00385738">
            <w:pPr>
              <w:pStyle w:val="ListParagraph"/>
              <w:ind w:left="0"/>
              <w:rPr>
                <w:sz w:val="20"/>
                <w:szCs w:val="20"/>
              </w:rPr>
            </w:pPr>
          </w:p>
          <w:p w14:paraId="186EDFE7" w14:textId="77777777" w:rsidR="004B0E92" w:rsidRDefault="004B0E92" w:rsidP="00385738">
            <w:pPr>
              <w:pStyle w:val="ListParagraph"/>
              <w:ind w:left="0"/>
              <w:rPr>
                <w:sz w:val="20"/>
                <w:szCs w:val="20"/>
              </w:rPr>
            </w:pPr>
            <w:r w:rsidRPr="00EC1E59">
              <w:rPr>
                <w:sz w:val="20"/>
                <w:szCs w:val="20"/>
              </w:rPr>
              <w:t>MS Public School Accountability Standards, 10-2018, p. 94 Section 4 Item 5d-5f, p. 95 Section 4</w:t>
            </w:r>
            <w:r>
              <w:rPr>
                <w:sz w:val="20"/>
                <w:szCs w:val="20"/>
              </w:rPr>
              <w:t xml:space="preserve"> </w:t>
            </w:r>
            <w:r w:rsidRPr="00EC1E59">
              <w:rPr>
                <w:sz w:val="20"/>
                <w:szCs w:val="20"/>
              </w:rPr>
              <w:t>Item 11.</w:t>
            </w:r>
          </w:p>
          <w:p w14:paraId="70905943" w14:textId="77777777" w:rsidR="004B0E92" w:rsidRDefault="004B0E92" w:rsidP="00385738">
            <w:pPr>
              <w:pStyle w:val="ListParagraph"/>
              <w:ind w:left="0"/>
              <w:rPr>
                <w:sz w:val="20"/>
                <w:szCs w:val="20"/>
              </w:rPr>
            </w:pPr>
          </w:p>
          <w:p w14:paraId="6CBD4FF4" w14:textId="77777777" w:rsidR="004B0E92" w:rsidRPr="001C5825" w:rsidRDefault="004B0E92" w:rsidP="00385738">
            <w:pPr>
              <w:autoSpaceDE w:val="0"/>
              <w:autoSpaceDN w:val="0"/>
              <w:adjustRightInd w:val="0"/>
              <w:rPr>
                <w:sz w:val="20"/>
                <w:szCs w:val="20"/>
              </w:rPr>
            </w:pPr>
            <w:r w:rsidRPr="001C5825">
              <w:rPr>
                <w:sz w:val="20"/>
                <w:szCs w:val="20"/>
              </w:rPr>
              <w:t xml:space="preserve">Additional evidence reviewed </w:t>
            </w:r>
            <w:r>
              <w:rPr>
                <w:sz w:val="20"/>
                <w:szCs w:val="20"/>
              </w:rPr>
              <w:t xml:space="preserve">for this CE </w:t>
            </w:r>
            <w:r w:rsidRPr="001C5825">
              <w:rPr>
                <w:sz w:val="20"/>
                <w:szCs w:val="20"/>
              </w:rPr>
              <w:t>but not cited by the state:</w:t>
            </w:r>
          </w:p>
          <w:p w14:paraId="35B14425" w14:textId="77777777" w:rsidR="004B0E92" w:rsidRPr="001C5825" w:rsidRDefault="004B0E92" w:rsidP="00385738">
            <w:pPr>
              <w:autoSpaceDE w:val="0"/>
              <w:autoSpaceDN w:val="0"/>
              <w:adjustRightInd w:val="0"/>
              <w:rPr>
                <w:sz w:val="20"/>
                <w:szCs w:val="20"/>
              </w:rPr>
            </w:pPr>
          </w:p>
          <w:p w14:paraId="6C9006B2" w14:textId="77777777" w:rsidR="004B0E92" w:rsidRPr="001C5825" w:rsidRDefault="004B0E92" w:rsidP="00385738">
            <w:pPr>
              <w:autoSpaceDE w:val="0"/>
              <w:autoSpaceDN w:val="0"/>
              <w:adjustRightInd w:val="0"/>
              <w:rPr>
                <w:sz w:val="20"/>
                <w:szCs w:val="20"/>
              </w:rPr>
            </w:pPr>
            <w:r w:rsidRPr="001C5825">
              <w:rPr>
                <w:sz w:val="20"/>
                <w:szCs w:val="20"/>
              </w:rPr>
              <w:t>English Language Proficiency Test (ELPT) - Winter 2019 - Complete</w:t>
            </w:r>
          </w:p>
          <w:p w14:paraId="6C5DD0E6" w14:textId="77777777" w:rsidR="004B0E92" w:rsidRPr="0077197F" w:rsidRDefault="004B0E92" w:rsidP="00385738">
            <w:pPr>
              <w:pStyle w:val="ListParagraph"/>
              <w:ind w:left="0"/>
              <w:rPr>
                <w:sz w:val="20"/>
                <w:szCs w:val="20"/>
              </w:rPr>
            </w:pPr>
          </w:p>
        </w:tc>
        <w:tc>
          <w:tcPr>
            <w:tcW w:w="5013" w:type="dxa"/>
            <w:shd w:val="clear" w:color="auto" w:fill="auto"/>
          </w:tcPr>
          <w:p w14:paraId="6623F9AB" w14:textId="77777777" w:rsidR="004B0E92" w:rsidRPr="002758FC" w:rsidRDefault="004B0E92" w:rsidP="00385738">
            <w:pPr>
              <w:rPr>
                <w:b/>
                <w:sz w:val="20"/>
                <w:szCs w:val="20"/>
              </w:rPr>
            </w:pPr>
            <w:r w:rsidRPr="002758FC">
              <w:rPr>
                <w:b/>
                <w:sz w:val="20"/>
                <w:szCs w:val="20"/>
              </w:rPr>
              <w:t>Clear procedures</w:t>
            </w:r>
          </w:p>
          <w:p w14:paraId="0D2E078A" w14:textId="77777777" w:rsidR="004B0E92" w:rsidRPr="002758FC" w:rsidRDefault="004B0E92" w:rsidP="00385738">
            <w:pPr>
              <w:rPr>
                <w:sz w:val="20"/>
                <w:szCs w:val="20"/>
              </w:rPr>
            </w:pPr>
            <w:r w:rsidRPr="002758FC">
              <w:rPr>
                <w:sz w:val="20"/>
                <w:szCs w:val="20"/>
              </w:rPr>
              <w:t xml:space="preserve">The state provides procedures for test coordinators, in managing online data and the paper form of the assessment. </w:t>
            </w:r>
            <w:r>
              <w:rPr>
                <w:sz w:val="20"/>
                <w:szCs w:val="20"/>
              </w:rPr>
              <w:t xml:space="preserve">Peers could find no </w:t>
            </w:r>
            <w:r w:rsidRPr="002758FC">
              <w:rPr>
                <w:sz w:val="20"/>
                <w:szCs w:val="20"/>
              </w:rPr>
              <w:t xml:space="preserve">evidence of the examiner’s guide for the paper form (referenced in LAS Links Test Coordinator Manual for Paper-Based Tests), or any specific procedures for administering the online assessment. It </w:t>
            </w:r>
            <w:r>
              <w:rPr>
                <w:sz w:val="20"/>
                <w:szCs w:val="20"/>
              </w:rPr>
              <w:t xml:space="preserve">is </w:t>
            </w:r>
            <w:r w:rsidRPr="002758FC">
              <w:rPr>
                <w:sz w:val="20"/>
                <w:szCs w:val="20"/>
              </w:rPr>
              <w:t xml:space="preserve">not clear whether the state relies </w:t>
            </w:r>
            <w:r>
              <w:rPr>
                <w:sz w:val="20"/>
                <w:szCs w:val="20"/>
              </w:rPr>
              <w:t xml:space="preserve">solely </w:t>
            </w:r>
            <w:r w:rsidRPr="002758FC">
              <w:rPr>
                <w:sz w:val="20"/>
                <w:szCs w:val="20"/>
              </w:rPr>
              <w:t>on general guidance in the student assessment handbook. (It was not listed as a source of evidence for CE</w:t>
            </w:r>
            <w:r>
              <w:rPr>
                <w:sz w:val="20"/>
                <w:szCs w:val="20"/>
              </w:rPr>
              <w:t xml:space="preserve"> </w:t>
            </w:r>
            <w:r w:rsidRPr="002758FC">
              <w:rPr>
                <w:sz w:val="20"/>
                <w:szCs w:val="20"/>
              </w:rPr>
              <w:t>2.3.)</w:t>
            </w:r>
          </w:p>
          <w:p w14:paraId="39E3FA9F" w14:textId="77777777" w:rsidR="004B0E92" w:rsidRPr="002758FC" w:rsidRDefault="004B0E92" w:rsidP="00385738">
            <w:pPr>
              <w:rPr>
                <w:sz w:val="20"/>
                <w:szCs w:val="20"/>
              </w:rPr>
            </w:pPr>
          </w:p>
          <w:p w14:paraId="7A127628" w14:textId="77777777" w:rsidR="004B0E92" w:rsidRPr="002758FC" w:rsidRDefault="004B0E92" w:rsidP="00385738">
            <w:pPr>
              <w:rPr>
                <w:sz w:val="20"/>
                <w:szCs w:val="20"/>
              </w:rPr>
            </w:pPr>
            <w:r w:rsidRPr="002758FC">
              <w:rPr>
                <w:sz w:val="20"/>
                <w:szCs w:val="20"/>
              </w:rPr>
              <w:t>Allowable accommodations and accessibility features are documented, as are</w:t>
            </w:r>
            <w:r>
              <w:rPr>
                <w:sz w:val="20"/>
                <w:szCs w:val="20"/>
              </w:rPr>
              <w:t xml:space="preserve"> general</w:t>
            </w:r>
            <w:r w:rsidRPr="002758FC">
              <w:rPr>
                <w:sz w:val="20"/>
                <w:szCs w:val="20"/>
              </w:rPr>
              <w:t xml:space="preserve"> procedures for administering accommodations and the</w:t>
            </w:r>
            <w:r>
              <w:rPr>
                <w:sz w:val="20"/>
                <w:szCs w:val="20"/>
              </w:rPr>
              <w:t xml:space="preserve"> prohibition against non-allowable</w:t>
            </w:r>
            <w:r w:rsidRPr="002758FC">
              <w:rPr>
                <w:sz w:val="20"/>
                <w:szCs w:val="20"/>
              </w:rPr>
              <w:t xml:space="preserve"> accommodations. </w:t>
            </w:r>
          </w:p>
          <w:p w14:paraId="314BD8EA" w14:textId="77777777" w:rsidR="004B0E92" w:rsidRPr="002758FC" w:rsidRDefault="004B0E92" w:rsidP="00385738">
            <w:pPr>
              <w:rPr>
                <w:sz w:val="20"/>
                <w:szCs w:val="20"/>
              </w:rPr>
            </w:pPr>
          </w:p>
          <w:p w14:paraId="45CD5090" w14:textId="77777777" w:rsidR="004B0E92" w:rsidRPr="002758FC" w:rsidRDefault="004B0E92" w:rsidP="00385738">
            <w:pPr>
              <w:pStyle w:val="ListParagraph"/>
              <w:ind w:left="0"/>
              <w:rPr>
                <w:sz w:val="20"/>
                <w:szCs w:val="20"/>
              </w:rPr>
            </w:pPr>
            <w:r w:rsidRPr="002758FC">
              <w:rPr>
                <w:sz w:val="20"/>
                <w:szCs w:val="20"/>
              </w:rPr>
              <w:t>Peers could not locate procedures to ensure inclusion of all students in testing, other than that opting out was not allowable.</w:t>
            </w:r>
          </w:p>
          <w:p w14:paraId="7098900F" w14:textId="77777777" w:rsidR="004B0E92" w:rsidRPr="002758FC" w:rsidRDefault="004B0E92" w:rsidP="00385738">
            <w:pPr>
              <w:rPr>
                <w:sz w:val="20"/>
                <w:szCs w:val="20"/>
              </w:rPr>
            </w:pPr>
          </w:p>
          <w:p w14:paraId="27DB70EF" w14:textId="77777777" w:rsidR="004B0E92" w:rsidRPr="002758FC" w:rsidRDefault="004B0E92" w:rsidP="00385738">
            <w:pPr>
              <w:rPr>
                <w:b/>
                <w:sz w:val="20"/>
                <w:szCs w:val="20"/>
              </w:rPr>
            </w:pPr>
            <w:r w:rsidRPr="002758FC">
              <w:rPr>
                <w:b/>
                <w:sz w:val="20"/>
                <w:szCs w:val="20"/>
              </w:rPr>
              <w:t>Training</w:t>
            </w:r>
          </w:p>
          <w:p w14:paraId="28884071" w14:textId="77777777" w:rsidR="004B0E92" w:rsidRDefault="004B0E92" w:rsidP="00385738">
            <w:pPr>
              <w:rPr>
                <w:sz w:val="20"/>
                <w:szCs w:val="20"/>
              </w:rPr>
            </w:pPr>
            <w:r w:rsidRPr="002758FC">
              <w:rPr>
                <w:sz w:val="20"/>
                <w:szCs w:val="20"/>
              </w:rPr>
              <w:t xml:space="preserve">The state’s accountability standards include requirements that local educators be trained in administration and test security. </w:t>
            </w:r>
          </w:p>
          <w:p w14:paraId="0E1CEAB2" w14:textId="77777777" w:rsidR="004B0E92" w:rsidRPr="002758FC" w:rsidRDefault="004B0E92" w:rsidP="00385738">
            <w:pPr>
              <w:rPr>
                <w:sz w:val="20"/>
                <w:szCs w:val="20"/>
              </w:rPr>
            </w:pPr>
          </w:p>
          <w:p w14:paraId="0664789F" w14:textId="77777777" w:rsidR="004B0E92" w:rsidRPr="002758FC" w:rsidRDefault="004B0E92" w:rsidP="00385738">
            <w:pPr>
              <w:rPr>
                <w:sz w:val="20"/>
                <w:szCs w:val="20"/>
              </w:rPr>
            </w:pPr>
            <w:r w:rsidRPr="002758FC">
              <w:rPr>
                <w:sz w:val="20"/>
                <w:szCs w:val="20"/>
              </w:rPr>
              <w:t>The state covers the ELP</w:t>
            </w:r>
            <w:r>
              <w:rPr>
                <w:sz w:val="20"/>
                <w:szCs w:val="20"/>
              </w:rPr>
              <w:t xml:space="preserve"> assessment </w:t>
            </w:r>
            <w:r w:rsidRPr="002758FC">
              <w:rPr>
                <w:sz w:val="20"/>
                <w:szCs w:val="20"/>
              </w:rPr>
              <w:t xml:space="preserve">in training to DTCs and to administrators. Administrator training addresses forms, student experience, encourages use of practice tests, summarizes forms, and data management procedures. </w:t>
            </w:r>
          </w:p>
          <w:p w14:paraId="577429F3" w14:textId="77777777" w:rsidR="004B0E92" w:rsidRPr="002758FC" w:rsidRDefault="004B0E92" w:rsidP="00385738">
            <w:pPr>
              <w:rPr>
                <w:sz w:val="20"/>
                <w:szCs w:val="20"/>
              </w:rPr>
            </w:pPr>
            <w:r w:rsidRPr="002758FC">
              <w:rPr>
                <w:sz w:val="20"/>
                <w:szCs w:val="20"/>
              </w:rPr>
              <w:t>The ELP</w:t>
            </w:r>
            <w:r>
              <w:rPr>
                <w:sz w:val="20"/>
                <w:szCs w:val="20"/>
              </w:rPr>
              <w:t xml:space="preserve"> assessment administration training </w:t>
            </w:r>
            <w:r w:rsidRPr="002758FC">
              <w:rPr>
                <w:sz w:val="20"/>
                <w:szCs w:val="20"/>
              </w:rPr>
              <w:t xml:space="preserve">includes </w:t>
            </w:r>
            <w:r>
              <w:rPr>
                <w:sz w:val="20"/>
                <w:szCs w:val="20"/>
              </w:rPr>
              <w:t xml:space="preserve">general </w:t>
            </w:r>
            <w:r w:rsidRPr="002758FC">
              <w:rPr>
                <w:sz w:val="20"/>
                <w:szCs w:val="20"/>
              </w:rPr>
              <w:t xml:space="preserve">instructions about accommodated forms, including which accommodations are allowable, relationship to instruction, and how to record in the portal. Peers could not find </w:t>
            </w:r>
            <w:r>
              <w:rPr>
                <w:sz w:val="20"/>
                <w:szCs w:val="20"/>
              </w:rPr>
              <w:t xml:space="preserve">evidence of </w:t>
            </w:r>
            <w:r w:rsidRPr="002758FC">
              <w:rPr>
                <w:sz w:val="20"/>
                <w:szCs w:val="20"/>
              </w:rPr>
              <w:t>training on how to administer assessments with accommodations.</w:t>
            </w:r>
          </w:p>
          <w:p w14:paraId="1E7A4657" w14:textId="77777777" w:rsidR="004B0E92" w:rsidRPr="002758FC" w:rsidRDefault="004B0E92" w:rsidP="00385738">
            <w:pPr>
              <w:rPr>
                <w:sz w:val="20"/>
                <w:szCs w:val="20"/>
              </w:rPr>
            </w:pPr>
          </w:p>
          <w:p w14:paraId="53E94322" w14:textId="77777777" w:rsidR="004B0E92" w:rsidRPr="00E92B30" w:rsidRDefault="004B0E92" w:rsidP="00385738">
            <w:pPr>
              <w:pStyle w:val="ListParagraph"/>
              <w:ind w:left="0"/>
              <w:rPr>
                <w:color w:val="0070C0"/>
                <w:sz w:val="20"/>
                <w:szCs w:val="20"/>
              </w:rPr>
            </w:pPr>
            <w:r>
              <w:rPr>
                <w:sz w:val="20"/>
                <w:szCs w:val="20"/>
              </w:rPr>
              <w:t>Peers were unable to find evidence of procedures to ensure all appropriate staff are offered, required to take, or received training in general. Evidence should include communications either requiring or recommending certain staff be trained by state or DTCs.</w:t>
            </w:r>
          </w:p>
          <w:p w14:paraId="36C14CCA" w14:textId="77777777" w:rsidR="004B0E92" w:rsidRPr="00E92B30" w:rsidRDefault="004B0E92" w:rsidP="00385738">
            <w:pPr>
              <w:rPr>
                <w:sz w:val="20"/>
                <w:szCs w:val="20"/>
              </w:rPr>
            </w:pPr>
          </w:p>
          <w:p w14:paraId="30ABA844" w14:textId="77777777" w:rsidR="004B0E92" w:rsidRPr="002758FC" w:rsidRDefault="004B0E92" w:rsidP="00385738">
            <w:pPr>
              <w:rPr>
                <w:b/>
                <w:sz w:val="20"/>
                <w:szCs w:val="20"/>
              </w:rPr>
            </w:pPr>
            <w:r w:rsidRPr="002758FC">
              <w:rPr>
                <w:b/>
                <w:sz w:val="20"/>
                <w:szCs w:val="20"/>
              </w:rPr>
              <w:t>Technology</w:t>
            </w:r>
          </w:p>
          <w:p w14:paraId="44630C19" w14:textId="77777777" w:rsidR="004B0E92" w:rsidRPr="002758FC" w:rsidRDefault="004B0E92" w:rsidP="00385738">
            <w:pPr>
              <w:rPr>
                <w:sz w:val="20"/>
                <w:szCs w:val="20"/>
              </w:rPr>
            </w:pPr>
            <w:r w:rsidRPr="002758FC">
              <w:rPr>
                <w:sz w:val="20"/>
                <w:szCs w:val="20"/>
              </w:rPr>
              <w:t>The vendor publishes a checklist for local staff to use when preparing for administration and a user guide for the DRC portal. The state supplements the latter with a roles/permissions matrix specific to MS user roles. Peers could not find evidence that the state disseminates this document</w:t>
            </w:r>
            <w:r>
              <w:rPr>
                <w:sz w:val="20"/>
                <w:szCs w:val="20"/>
              </w:rPr>
              <w:t xml:space="preserve"> to appropriate users</w:t>
            </w:r>
            <w:r w:rsidRPr="002758FC">
              <w:rPr>
                <w:sz w:val="20"/>
                <w:szCs w:val="20"/>
              </w:rPr>
              <w:t xml:space="preserve">. </w:t>
            </w:r>
          </w:p>
          <w:p w14:paraId="26D3FB4B" w14:textId="77777777" w:rsidR="004B0E92" w:rsidRPr="002758FC" w:rsidRDefault="004B0E92" w:rsidP="00385738">
            <w:pPr>
              <w:rPr>
                <w:sz w:val="20"/>
                <w:szCs w:val="20"/>
              </w:rPr>
            </w:pPr>
          </w:p>
          <w:p w14:paraId="2D5C286A" w14:textId="77777777" w:rsidR="004B0E92" w:rsidRPr="002758FC" w:rsidRDefault="004B0E92" w:rsidP="00385738">
            <w:pPr>
              <w:rPr>
                <w:sz w:val="20"/>
                <w:szCs w:val="20"/>
              </w:rPr>
            </w:pPr>
            <w:r w:rsidRPr="002758FC">
              <w:rPr>
                <w:sz w:val="20"/>
                <w:szCs w:val="20"/>
              </w:rPr>
              <w:t>The vendor has hardware safeguards to prevent disruptions (1, pp. 11-12), however, peers could not find information about the state’s contingency plan in the case of technology challenges during test administration</w:t>
            </w:r>
            <w:r>
              <w:rPr>
                <w:sz w:val="20"/>
                <w:szCs w:val="20"/>
              </w:rPr>
              <w:t xml:space="preserve"> at the school, district, or </w:t>
            </w:r>
            <w:r w:rsidRPr="002758FC">
              <w:rPr>
                <w:sz w:val="20"/>
                <w:szCs w:val="20"/>
              </w:rPr>
              <w:t xml:space="preserve">state level. </w:t>
            </w:r>
          </w:p>
          <w:p w14:paraId="43873EE1" w14:textId="77777777" w:rsidR="004B0E92" w:rsidRPr="002758FC" w:rsidRDefault="004B0E92" w:rsidP="00385738">
            <w:pPr>
              <w:rPr>
                <w:sz w:val="20"/>
                <w:szCs w:val="20"/>
              </w:rPr>
            </w:pPr>
          </w:p>
          <w:p w14:paraId="36840572" w14:textId="77777777" w:rsidR="004B0E92" w:rsidRPr="0077197F" w:rsidRDefault="004B0E92" w:rsidP="00385738">
            <w:pPr>
              <w:pStyle w:val="ListParagraph"/>
              <w:ind w:left="0"/>
              <w:rPr>
                <w:sz w:val="20"/>
                <w:szCs w:val="20"/>
              </w:rPr>
            </w:pPr>
            <w:r w:rsidRPr="002758FC">
              <w:rPr>
                <w:sz w:val="20"/>
                <w:szCs w:val="20"/>
              </w:rPr>
              <w:t xml:space="preserve">Evidence should include a troubleshooting guide or reference, </w:t>
            </w:r>
            <w:r>
              <w:rPr>
                <w:sz w:val="20"/>
                <w:szCs w:val="20"/>
              </w:rPr>
              <w:t xml:space="preserve">including </w:t>
            </w:r>
            <w:r w:rsidRPr="002758FC">
              <w:rPr>
                <w:sz w:val="20"/>
                <w:szCs w:val="20"/>
              </w:rPr>
              <w:t xml:space="preserve">procedures for interrupted testing, perhaps through test irregularity or testing incident reports from </w:t>
            </w:r>
            <w:r>
              <w:rPr>
                <w:sz w:val="20"/>
                <w:szCs w:val="20"/>
              </w:rPr>
              <w:t xml:space="preserve">the </w:t>
            </w:r>
            <w:r w:rsidRPr="002758FC">
              <w:rPr>
                <w:sz w:val="20"/>
                <w:szCs w:val="20"/>
              </w:rPr>
              <w:t xml:space="preserve">district to </w:t>
            </w:r>
            <w:r>
              <w:rPr>
                <w:sz w:val="20"/>
                <w:szCs w:val="20"/>
              </w:rPr>
              <w:t xml:space="preserve">the </w:t>
            </w:r>
            <w:r w:rsidRPr="002758FC">
              <w:rPr>
                <w:sz w:val="20"/>
                <w:szCs w:val="20"/>
              </w:rPr>
              <w:t>state.</w:t>
            </w:r>
          </w:p>
        </w:tc>
      </w:tr>
      <w:tr w:rsidR="004B0E92" w:rsidRPr="00532BBF" w14:paraId="5A05806C" w14:textId="77777777" w:rsidTr="00385738">
        <w:tc>
          <w:tcPr>
            <w:tcW w:w="13410" w:type="dxa"/>
            <w:gridSpan w:val="3"/>
            <w:shd w:val="clear" w:color="auto" w:fill="auto"/>
          </w:tcPr>
          <w:p w14:paraId="65CF3A89" w14:textId="77777777" w:rsidR="004B0E92" w:rsidRPr="00532BBF" w:rsidRDefault="004B0E92" w:rsidP="00385738">
            <w:pPr>
              <w:pStyle w:val="Heading4"/>
            </w:pPr>
            <w:bookmarkStart w:id="13" w:name="_Toc51405532"/>
            <w:bookmarkStart w:id="14" w:name="_Toc51405534"/>
            <w:r>
              <w:lastRenderedPageBreak/>
              <w:t>Section 2.3</w:t>
            </w:r>
            <w:r w:rsidRPr="00532BBF">
              <w:t xml:space="preserve"> Summary Statement</w:t>
            </w:r>
          </w:p>
        </w:tc>
      </w:tr>
      <w:tr w:rsidR="004B0E92" w:rsidRPr="00532BBF" w14:paraId="726ABE78" w14:textId="77777777" w:rsidTr="00385738">
        <w:tc>
          <w:tcPr>
            <w:tcW w:w="13410" w:type="dxa"/>
            <w:gridSpan w:val="3"/>
            <w:shd w:val="clear" w:color="auto" w:fill="auto"/>
          </w:tcPr>
          <w:p w14:paraId="201C9A3C" w14:textId="77777777" w:rsidR="004B0E92" w:rsidRPr="00532BBF" w:rsidRDefault="004B0E92" w:rsidP="00385738">
            <w:pPr>
              <w:rPr>
                <w:sz w:val="20"/>
                <w:szCs w:val="20"/>
              </w:rPr>
            </w:pPr>
            <w:r w:rsidRPr="00532BBF">
              <w:rPr>
                <w:sz w:val="20"/>
                <w:szCs w:val="20"/>
              </w:rPr>
              <w:t>___ No additional evidence is required or</w:t>
            </w:r>
          </w:p>
          <w:p w14:paraId="0455B1F6" w14:textId="77777777" w:rsidR="004B0E92" w:rsidRPr="00532BBF" w:rsidRDefault="004B0E92" w:rsidP="00385738">
            <w:pPr>
              <w:rPr>
                <w:sz w:val="20"/>
                <w:szCs w:val="20"/>
              </w:rPr>
            </w:pPr>
          </w:p>
          <w:p w14:paraId="6698ECC0" w14:textId="77777777" w:rsidR="004B0E92" w:rsidRPr="00532BBF" w:rsidRDefault="004B0E9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13BF7F68" w14:textId="77777777" w:rsidR="004B0E92" w:rsidRPr="001C5825" w:rsidRDefault="004B0E92" w:rsidP="008D31CB">
            <w:pPr>
              <w:pStyle w:val="ListParagraph"/>
              <w:numPr>
                <w:ilvl w:val="0"/>
                <w:numId w:val="15"/>
              </w:numPr>
              <w:rPr>
                <w:sz w:val="20"/>
                <w:szCs w:val="20"/>
              </w:rPr>
            </w:pPr>
            <w:r>
              <w:rPr>
                <w:sz w:val="20"/>
                <w:szCs w:val="20"/>
              </w:rPr>
              <w:t>Detailed evidence that the state h</w:t>
            </w:r>
            <w:r w:rsidRPr="001C5825">
              <w:rPr>
                <w:sz w:val="20"/>
                <w:szCs w:val="20"/>
              </w:rPr>
              <w:t xml:space="preserve">as established and communicates to educators clear, thorough and consistent standardized procedures for the administration of its assessments, including administration with accommodations;  </w:t>
            </w:r>
          </w:p>
          <w:p w14:paraId="348783B6" w14:textId="77777777" w:rsidR="004B0E92" w:rsidRDefault="004B0E92" w:rsidP="008D31CB">
            <w:pPr>
              <w:pStyle w:val="ListParagraph"/>
              <w:numPr>
                <w:ilvl w:val="0"/>
                <w:numId w:val="15"/>
              </w:numPr>
              <w:rPr>
                <w:sz w:val="20"/>
                <w:szCs w:val="20"/>
              </w:rPr>
            </w:pPr>
            <w:r>
              <w:rPr>
                <w:sz w:val="20"/>
                <w:szCs w:val="20"/>
              </w:rPr>
              <w:t xml:space="preserve">Detailed evidence that the state has </w:t>
            </w:r>
            <w:r w:rsidRPr="001C5825">
              <w:rPr>
                <w:sz w:val="20"/>
                <w:szCs w:val="20"/>
              </w:rPr>
              <w:t>established procedures to ensure that general and special education teachers, paraprofessionals, teachers of ELs, specialized instructional support personnel, and other appropriate staff receive necessary training to administer assessments and know how to administer assessments, and know how to make use of appropriate accommodations during assessments for all students with disabilities;</w:t>
            </w:r>
          </w:p>
          <w:p w14:paraId="4DD4A92B" w14:textId="77777777" w:rsidR="004B0E92" w:rsidRPr="00532BBF" w:rsidRDefault="004B0E92" w:rsidP="008D31CB">
            <w:pPr>
              <w:pStyle w:val="ListParagraph"/>
              <w:numPr>
                <w:ilvl w:val="0"/>
                <w:numId w:val="15"/>
              </w:numPr>
              <w:rPr>
                <w:sz w:val="20"/>
                <w:szCs w:val="20"/>
              </w:rPr>
            </w:pPr>
            <w:r>
              <w:rPr>
                <w:sz w:val="20"/>
                <w:szCs w:val="20"/>
              </w:rPr>
              <w:t xml:space="preserve">Detailed evidence that the state has sufficiently included </w:t>
            </w:r>
            <w:r w:rsidRPr="001C5825">
              <w:rPr>
                <w:sz w:val="20"/>
                <w:szCs w:val="20"/>
              </w:rPr>
              <w:t>technology-based test administration in its standardized procedures for test administration, and established contingency plans to address possible technology challe</w:t>
            </w:r>
            <w:r>
              <w:rPr>
                <w:sz w:val="20"/>
                <w:szCs w:val="20"/>
              </w:rPr>
              <w:t>nges during test administration</w:t>
            </w:r>
          </w:p>
        </w:tc>
      </w:tr>
    </w:tbl>
    <w:p w14:paraId="0419F85C" w14:textId="77777777" w:rsidR="004B0E92" w:rsidRDefault="004B0E92" w:rsidP="004B0E92">
      <w:pPr>
        <w:rPr>
          <w:b/>
          <w:sz w:val="20"/>
          <w:szCs w:val="20"/>
        </w:rPr>
      </w:pPr>
    </w:p>
    <w:p w14:paraId="73599126" w14:textId="77777777" w:rsidR="004B0E92" w:rsidRDefault="004B0E92" w:rsidP="004B0E92">
      <w:pPr>
        <w:pStyle w:val="Heading2"/>
      </w:pPr>
      <w:r>
        <w:br w:type="page"/>
      </w:r>
      <w:bookmarkStart w:id="15" w:name="_Toc3354963"/>
      <w:r w:rsidRPr="009678AC">
        <w:lastRenderedPageBreak/>
        <w:t xml:space="preserve">Critical Element </w:t>
      </w:r>
      <w:r>
        <w:t>2</w:t>
      </w:r>
      <w:r w:rsidRPr="009678AC">
        <w:t>.</w:t>
      </w:r>
      <w:r>
        <w:t>4</w:t>
      </w:r>
      <w:r w:rsidRPr="009678AC">
        <w:t xml:space="preserve"> – Monitoring Test Administration</w:t>
      </w:r>
      <w:bookmarkEnd w:id="1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2BB55806"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4E2253B1"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5F194EE"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FEB29F4"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2E098EB3" w14:textId="77777777" w:rsidTr="00385738">
        <w:tc>
          <w:tcPr>
            <w:tcW w:w="3618" w:type="dxa"/>
            <w:shd w:val="clear" w:color="auto" w:fill="auto"/>
          </w:tcPr>
          <w:p w14:paraId="66FEA4AF" w14:textId="77777777" w:rsidR="004B0E92" w:rsidRPr="0077197F" w:rsidRDefault="004B0E92" w:rsidP="00385738">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5200CADB" w14:textId="77777777" w:rsidR="004B0E92" w:rsidRPr="0097645C" w:rsidRDefault="004B0E92" w:rsidP="00385738">
            <w:pPr>
              <w:rPr>
                <w:sz w:val="20"/>
              </w:rPr>
            </w:pPr>
            <w:r w:rsidRPr="0097645C">
              <w:rPr>
                <w:sz w:val="20"/>
              </w:rPr>
              <w:t>LAS Links Test Security Overview, January 2019</w:t>
            </w:r>
          </w:p>
          <w:p w14:paraId="03730203" w14:textId="77777777" w:rsidR="004B0E92" w:rsidRDefault="004B0E92" w:rsidP="00385738">
            <w:pPr>
              <w:rPr>
                <w:sz w:val="20"/>
              </w:rPr>
            </w:pPr>
            <w:r w:rsidRPr="0097645C">
              <w:rPr>
                <w:sz w:val="20"/>
              </w:rPr>
              <w:t> Testing Irregularity Report Form</w:t>
            </w:r>
          </w:p>
          <w:p w14:paraId="6E20E762" w14:textId="77777777" w:rsidR="004B0E92" w:rsidRDefault="004B0E92" w:rsidP="00385738">
            <w:pPr>
              <w:autoSpaceDE w:val="0"/>
              <w:autoSpaceDN w:val="0"/>
              <w:adjustRightInd w:val="0"/>
              <w:rPr>
                <w:sz w:val="20"/>
                <w:szCs w:val="20"/>
              </w:rPr>
            </w:pPr>
            <w:r>
              <w:rPr>
                <w:sz w:val="20"/>
                <w:szCs w:val="20"/>
              </w:rPr>
              <w:t>MS Test Audit-Monitoring Instrument</w:t>
            </w:r>
          </w:p>
          <w:p w14:paraId="7F598093" w14:textId="77777777" w:rsidR="004B0E92" w:rsidRPr="0077197F" w:rsidRDefault="004B0E92" w:rsidP="00385738">
            <w:pPr>
              <w:rPr>
                <w:sz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sz w:val="20"/>
                <w:szCs w:val="20"/>
              </w:rPr>
              <w:t>MS Public School Accountability Standards, 10- 2018, p. 94, Section 4, Item 6a-6b.</w:t>
            </w:r>
          </w:p>
        </w:tc>
        <w:tc>
          <w:tcPr>
            <w:tcW w:w="5013" w:type="dxa"/>
            <w:shd w:val="clear" w:color="auto" w:fill="auto"/>
          </w:tcPr>
          <w:p w14:paraId="27A68FD9" w14:textId="77777777" w:rsidR="004B0E92" w:rsidRDefault="004B0E92" w:rsidP="00385738">
            <w:pPr>
              <w:rPr>
                <w:sz w:val="20"/>
              </w:rPr>
            </w:pPr>
            <w:r>
              <w:rPr>
                <w:sz w:val="20"/>
              </w:rPr>
              <w:t>The State provided some evidence of a system of monitoring State test administrations.  For the ELP assessment, evidence was provided describing how the vendor’s online administration system was used for monitoring.</w:t>
            </w:r>
          </w:p>
          <w:p w14:paraId="3BE948D5" w14:textId="77777777" w:rsidR="004B0E92" w:rsidRDefault="004B0E92" w:rsidP="00385738">
            <w:pPr>
              <w:rPr>
                <w:sz w:val="20"/>
              </w:rPr>
            </w:pPr>
          </w:p>
          <w:p w14:paraId="7F9BD46A" w14:textId="77777777" w:rsidR="004B0E92" w:rsidRDefault="004B0E92" w:rsidP="00385738">
            <w:pPr>
              <w:rPr>
                <w:sz w:val="20"/>
              </w:rPr>
            </w:pPr>
            <w:r>
              <w:rPr>
                <w:sz w:val="20"/>
              </w:rPr>
              <w:t>A brief audit protocol form was provided as an example.  This form appears to be used for all State tests.</w:t>
            </w:r>
          </w:p>
          <w:p w14:paraId="1830D9D3" w14:textId="77777777" w:rsidR="004B0E92" w:rsidRDefault="004B0E92" w:rsidP="00385738">
            <w:pPr>
              <w:rPr>
                <w:sz w:val="20"/>
              </w:rPr>
            </w:pPr>
          </w:p>
          <w:p w14:paraId="25213C1C" w14:textId="77777777" w:rsidR="004B0E92" w:rsidRDefault="004B0E92" w:rsidP="00385738">
            <w:pPr>
              <w:rPr>
                <w:sz w:val="20"/>
              </w:rPr>
            </w:pPr>
            <w:r>
              <w:rPr>
                <w:sz w:val="20"/>
              </w:rPr>
              <w:t>While protocols were shared, there was no evidence that test monitoring of ELP assessments had taken place.</w:t>
            </w:r>
          </w:p>
          <w:p w14:paraId="070BCA74" w14:textId="77777777" w:rsidR="004B0E92" w:rsidRDefault="004B0E92" w:rsidP="00385738">
            <w:pPr>
              <w:rPr>
                <w:sz w:val="20"/>
              </w:rPr>
            </w:pPr>
          </w:p>
          <w:p w14:paraId="6A62742B" w14:textId="77777777" w:rsidR="004B0E92" w:rsidRDefault="004B0E92" w:rsidP="00385738">
            <w:pPr>
              <w:rPr>
                <w:sz w:val="20"/>
              </w:rPr>
            </w:pPr>
            <w:r>
              <w:rPr>
                <w:sz w:val="20"/>
              </w:rPr>
              <w:t>The State did not provide evidence of a systematic plan for selecting schools for monitoring visits.  There is no evidence of a rationale or a system to monitor across all tested grades K-12, or how the State selects schools for observations.</w:t>
            </w:r>
          </w:p>
          <w:p w14:paraId="5E0F8005" w14:textId="77777777" w:rsidR="004B0E92" w:rsidRDefault="004B0E92" w:rsidP="00385738">
            <w:pPr>
              <w:rPr>
                <w:sz w:val="20"/>
              </w:rPr>
            </w:pPr>
          </w:p>
          <w:p w14:paraId="13AF16F6" w14:textId="77777777" w:rsidR="004B0E92" w:rsidRDefault="004B0E92" w:rsidP="00385738">
            <w:pPr>
              <w:rPr>
                <w:sz w:val="20"/>
              </w:rPr>
            </w:pPr>
            <w:r>
              <w:rPr>
                <w:sz w:val="20"/>
              </w:rPr>
              <w:t>There was also minimal evidence of guidance given to LEAs about conducting local monitoring of ELP test administrations.</w:t>
            </w:r>
          </w:p>
          <w:p w14:paraId="3F10985C" w14:textId="77777777" w:rsidR="004B0E92" w:rsidRDefault="004B0E92" w:rsidP="00385738">
            <w:pPr>
              <w:rPr>
                <w:sz w:val="20"/>
              </w:rPr>
            </w:pPr>
          </w:p>
          <w:p w14:paraId="7AB1D5B7" w14:textId="77777777" w:rsidR="004B0E92" w:rsidRDefault="004B0E92" w:rsidP="00385738">
            <w:pPr>
              <w:rPr>
                <w:sz w:val="20"/>
              </w:rPr>
            </w:pPr>
            <w:r>
              <w:rPr>
                <w:sz w:val="20"/>
              </w:rPr>
              <w:t>Staff believe that the State should provide additional evidence regarding the adequate monitoring of ELP test administration.  Adequate monitoring could be demonstrated by evidence such as:</w:t>
            </w:r>
          </w:p>
          <w:p w14:paraId="1360B496" w14:textId="77777777" w:rsidR="004B0E92" w:rsidRPr="00CB79A4" w:rsidRDefault="004B0E92" w:rsidP="00385738">
            <w:pPr>
              <w:rPr>
                <w:sz w:val="20"/>
              </w:rPr>
            </w:pPr>
            <w:r w:rsidRPr="00CB79A4">
              <w:rPr>
                <w:sz w:val="20"/>
              </w:rPr>
              <w:t xml:space="preserve">• </w:t>
            </w:r>
            <w:r>
              <w:rPr>
                <w:sz w:val="20"/>
              </w:rPr>
              <w:t>a b</w:t>
            </w:r>
            <w:r w:rsidRPr="00CB79A4">
              <w:rPr>
                <w:sz w:val="20"/>
              </w:rPr>
              <w:t xml:space="preserve">rief description of the </w:t>
            </w:r>
            <w:r>
              <w:rPr>
                <w:sz w:val="20"/>
              </w:rPr>
              <w:t xml:space="preserve">overall </w:t>
            </w:r>
            <w:r w:rsidRPr="00CB79A4">
              <w:rPr>
                <w:sz w:val="20"/>
              </w:rPr>
              <w:t xml:space="preserve">State’s approach to monitoring </w:t>
            </w:r>
            <w:r>
              <w:rPr>
                <w:sz w:val="20"/>
              </w:rPr>
              <w:t xml:space="preserve">ELP </w:t>
            </w:r>
            <w:r w:rsidRPr="00CB79A4">
              <w:rPr>
                <w:sz w:val="20"/>
              </w:rPr>
              <w:t>test administration (e.g., monitoring conducted by State staff, through regional centers, by districts with support from the State, or another approach);</w:t>
            </w:r>
          </w:p>
          <w:p w14:paraId="7FFC8F91" w14:textId="77777777" w:rsidR="004B0E92" w:rsidRDefault="004B0E92" w:rsidP="00385738">
            <w:pPr>
              <w:rPr>
                <w:sz w:val="20"/>
              </w:rPr>
            </w:pPr>
            <w:r w:rsidRPr="00CB79A4">
              <w:rPr>
                <w:sz w:val="20"/>
              </w:rPr>
              <w:t xml:space="preserve">• </w:t>
            </w:r>
            <w:r>
              <w:rPr>
                <w:sz w:val="20"/>
              </w:rPr>
              <w:t>e</w:t>
            </w:r>
            <w:r w:rsidRPr="00CB79A4">
              <w:rPr>
                <w:sz w:val="20"/>
              </w:rPr>
              <w:t xml:space="preserve">xisting written documentation of the State’s procedures for monitoring test administration across the State, including, for example, strategies for selection of districts and schools for monitoring, cycle for reaching schools and districts across the State, training on monitoring, </w:t>
            </w:r>
            <w:r w:rsidRPr="00CB79A4">
              <w:rPr>
                <w:sz w:val="20"/>
              </w:rPr>
              <w:lastRenderedPageBreak/>
              <w:t>observation forms, schedule for monitoring, monitors’ roles, and the responsibilities of key personnel</w:t>
            </w:r>
            <w:r>
              <w:rPr>
                <w:sz w:val="20"/>
              </w:rPr>
              <w:t>.</w:t>
            </w:r>
          </w:p>
          <w:p w14:paraId="171CACE8" w14:textId="77777777" w:rsidR="004B0E92" w:rsidRDefault="004B0E92" w:rsidP="00385738">
            <w:pPr>
              <w:rPr>
                <w:sz w:val="20"/>
              </w:rPr>
            </w:pPr>
            <w:r w:rsidRPr="00CB79A4">
              <w:rPr>
                <w:sz w:val="20"/>
              </w:rPr>
              <w:t xml:space="preserve">• </w:t>
            </w:r>
            <w:r>
              <w:rPr>
                <w:sz w:val="20"/>
              </w:rPr>
              <w:t>evidence that monitoring of ELP test administration has occurred, such as State wide summary reports of monitoring activity or a redacted observation/audit report of a single testing site.</w:t>
            </w:r>
          </w:p>
          <w:p w14:paraId="4222043E" w14:textId="77777777" w:rsidR="004B0E92" w:rsidRPr="0077197F" w:rsidRDefault="004B0E92" w:rsidP="00385738">
            <w:pPr>
              <w:rPr>
                <w:sz w:val="20"/>
              </w:rPr>
            </w:pPr>
          </w:p>
        </w:tc>
      </w:tr>
      <w:tr w:rsidR="004B0E92" w:rsidRPr="00532BBF" w14:paraId="7DC17AFF" w14:textId="77777777" w:rsidTr="00385738">
        <w:tc>
          <w:tcPr>
            <w:tcW w:w="13410" w:type="dxa"/>
            <w:gridSpan w:val="3"/>
            <w:shd w:val="clear" w:color="auto" w:fill="auto"/>
          </w:tcPr>
          <w:p w14:paraId="3FB42A24" w14:textId="77777777" w:rsidR="004B0E92" w:rsidRPr="00532BBF" w:rsidRDefault="004B0E92" w:rsidP="00385738">
            <w:pPr>
              <w:pStyle w:val="Heading4"/>
            </w:pPr>
            <w:r>
              <w:lastRenderedPageBreak/>
              <w:t>Section 2.4</w:t>
            </w:r>
            <w:r w:rsidRPr="00532BBF">
              <w:t xml:space="preserve"> Summary Statement</w:t>
            </w:r>
          </w:p>
        </w:tc>
      </w:tr>
      <w:tr w:rsidR="004B0E92" w:rsidRPr="00532BBF" w14:paraId="343916CC" w14:textId="77777777" w:rsidTr="00385738">
        <w:tc>
          <w:tcPr>
            <w:tcW w:w="13410" w:type="dxa"/>
            <w:gridSpan w:val="3"/>
            <w:shd w:val="clear" w:color="auto" w:fill="auto"/>
          </w:tcPr>
          <w:p w14:paraId="02987344" w14:textId="77777777" w:rsidR="004B0E92" w:rsidRPr="00532BBF" w:rsidRDefault="004B0E9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2D8A9719" w14:textId="77777777" w:rsidR="004B0E92" w:rsidRPr="0086028A" w:rsidRDefault="004B0E92" w:rsidP="008D31CB">
            <w:pPr>
              <w:numPr>
                <w:ilvl w:val="0"/>
                <w:numId w:val="3"/>
              </w:numPr>
              <w:ind w:left="720"/>
              <w:rPr>
                <w:sz w:val="20"/>
                <w:szCs w:val="20"/>
              </w:rPr>
            </w:pPr>
            <w:r w:rsidRPr="0086028A">
              <w:rPr>
                <w:sz w:val="20"/>
                <w:szCs w:val="20"/>
              </w:rPr>
              <w:t>the State should provide additional evidence regarding the adequate monitoring of ELP test administration.  Adequate monitoring could be demonstrated by evidence such as:</w:t>
            </w:r>
          </w:p>
          <w:p w14:paraId="38D3780C" w14:textId="77777777" w:rsidR="004B0E92" w:rsidRDefault="004B0E92" w:rsidP="008D31CB">
            <w:pPr>
              <w:numPr>
                <w:ilvl w:val="1"/>
                <w:numId w:val="3"/>
              </w:numPr>
              <w:ind w:left="1440"/>
              <w:rPr>
                <w:sz w:val="20"/>
                <w:szCs w:val="20"/>
              </w:rPr>
            </w:pPr>
            <w:r w:rsidRPr="0086028A">
              <w:rPr>
                <w:sz w:val="20"/>
                <w:szCs w:val="20"/>
              </w:rPr>
              <w:t>a brief description of the overall State’s approach to monitoring ELP test administration (e.g., monitoring conducted by State staff, through regional centers, by districts with support from the State, or another approach);</w:t>
            </w:r>
          </w:p>
          <w:p w14:paraId="23B1264C" w14:textId="77777777" w:rsidR="004B0E92" w:rsidRDefault="004B0E92" w:rsidP="008D31CB">
            <w:pPr>
              <w:numPr>
                <w:ilvl w:val="1"/>
                <w:numId w:val="3"/>
              </w:numPr>
              <w:ind w:left="1440"/>
              <w:rPr>
                <w:sz w:val="20"/>
                <w:szCs w:val="20"/>
              </w:rPr>
            </w:pPr>
            <w:r w:rsidRPr="0086028A">
              <w:rPr>
                <w:sz w:val="20"/>
                <w:szCs w:val="20"/>
              </w:rPr>
              <w:t>existing written documentation of the State’s procedures for monitoring test administration across the State, including, for example, strategies for selection of districts and schools for monitoring, cycle for reaching schools and districts across the State, training on monitoring, observation forms, schedule for monitoring, monitors’ roles, and the responsibilities of key personnel.</w:t>
            </w:r>
          </w:p>
          <w:p w14:paraId="5E170574" w14:textId="77777777" w:rsidR="004B0E92" w:rsidRPr="00532BBF" w:rsidRDefault="004B0E92" w:rsidP="00385738">
            <w:pPr>
              <w:ind w:left="720"/>
              <w:rPr>
                <w:sz w:val="20"/>
                <w:szCs w:val="20"/>
              </w:rPr>
            </w:pPr>
            <w:r>
              <w:rPr>
                <w:sz w:val="20"/>
              </w:rPr>
              <w:t>evidence that monitoring of ELP test administration has occurred, such as State wide summary reports of monitoring activity or a redacted observation/audit report of a single testing site.</w:t>
            </w:r>
          </w:p>
        </w:tc>
      </w:tr>
    </w:tbl>
    <w:p w14:paraId="0D2C59EB" w14:textId="77777777" w:rsidR="004B0E92" w:rsidRDefault="004B0E92" w:rsidP="004B0E92"/>
    <w:p w14:paraId="79823C9F" w14:textId="77777777" w:rsidR="004B0E92" w:rsidRDefault="004B0E92" w:rsidP="004B0E92">
      <w:pPr>
        <w:pStyle w:val="Heading2"/>
      </w:pPr>
      <w:r>
        <w:br w:type="page"/>
      </w:r>
      <w:bookmarkStart w:id="16" w:name="_Toc3354964"/>
      <w:r w:rsidRPr="009678AC">
        <w:lastRenderedPageBreak/>
        <w:t>Critical Element 2.</w:t>
      </w:r>
      <w:r>
        <w:t>5</w:t>
      </w:r>
      <w:r w:rsidRPr="009678AC">
        <w:t xml:space="preserve"> – Test Security</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4C3CFAE2"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145C9F11"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04F1A08"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A669FE"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493645AE" w14:textId="77777777" w:rsidTr="00385738">
        <w:tc>
          <w:tcPr>
            <w:tcW w:w="3618" w:type="dxa"/>
            <w:shd w:val="clear" w:color="auto" w:fill="auto"/>
          </w:tcPr>
          <w:p w14:paraId="5A718020" w14:textId="77777777" w:rsidR="004B0E92" w:rsidRPr="002313D0" w:rsidRDefault="004B0E92" w:rsidP="00385738">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4F4D252A" w14:textId="77777777" w:rsidR="004B0E92" w:rsidRPr="009E2627" w:rsidRDefault="004B0E92" w:rsidP="008D31CB">
            <w:pPr>
              <w:pStyle w:val="ListParagraph"/>
              <w:numPr>
                <w:ilvl w:val="0"/>
                <w:numId w:val="16"/>
              </w:numPr>
              <w:rPr>
                <w:sz w:val="20"/>
                <w:szCs w:val="20"/>
              </w:rPr>
            </w:pPr>
            <w:r w:rsidRPr="009E2627">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9E2627">
              <w:rPr>
                <w:sz w:val="20"/>
              </w:rPr>
              <w:t xml:space="preserve"> violations of test security, and r</w:t>
            </w:r>
            <w:r w:rsidRPr="009E2627">
              <w:rPr>
                <w:sz w:val="20"/>
                <w:szCs w:val="20"/>
              </w:rPr>
              <w:t>equirements for annual training at the district and school levels for all individuals involved in test administration;</w:t>
            </w:r>
          </w:p>
          <w:p w14:paraId="5D97986B" w14:textId="77777777" w:rsidR="004B0E92" w:rsidRPr="009E2627" w:rsidRDefault="004B0E92" w:rsidP="008D31CB">
            <w:pPr>
              <w:pStyle w:val="ListParagraph"/>
              <w:numPr>
                <w:ilvl w:val="0"/>
                <w:numId w:val="16"/>
              </w:numPr>
              <w:rPr>
                <w:sz w:val="20"/>
                <w:szCs w:val="20"/>
              </w:rPr>
            </w:pPr>
            <w:r w:rsidRPr="009E2627">
              <w:rPr>
                <w:sz w:val="20"/>
                <w:szCs w:val="20"/>
              </w:rPr>
              <w:t>Detection of test irregularities;</w:t>
            </w:r>
          </w:p>
          <w:p w14:paraId="1BBF2ABF" w14:textId="77777777" w:rsidR="004B0E92" w:rsidRPr="009E2627" w:rsidRDefault="004B0E92" w:rsidP="008D31CB">
            <w:pPr>
              <w:pStyle w:val="ListParagraph"/>
              <w:numPr>
                <w:ilvl w:val="0"/>
                <w:numId w:val="16"/>
              </w:numPr>
              <w:rPr>
                <w:sz w:val="20"/>
                <w:szCs w:val="20"/>
              </w:rPr>
            </w:pPr>
            <w:r w:rsidRPr="009E2627">
              <w:rPr>
                <w:sz w:val="20"/>
                <w:szCs w:val="20"/>
              </w:rPr>
              <w:t>Remediation following any test security incidents involving any of the State’s assessments;</w:t>
            </w:r>
          </w:p>
          <w:p w14:paraId="0FD7AE1E" w14:textId="77777777" w:rsidR="004B0E92" w:rsidRPr="009E2627" w:rsidRDefault="004B0E92" w:rsidP="008D31CB">
            <w:pPr>
              <w:pStyle w:val="ListParagraph"/>
              <w:numPr>
                <w:ilvl w:val="0"/>
                <w:numId w:val="16"/>
              </w:numPr>
              <w:rPr>
                <w:sz w:val="20"/>
                <w:szCs w:val="20"/>
              </w:rPr>
            </w:pPr>
            <w:r w:rsidRPr="009E2627">
              <w:rPr>
                <w:sz w:val="20"/>
                <w:szCs w:val="20"/>
              </w:rPr>
              <w:t xml:space="preserve">Investigation of </w:t>
            </w:r>
            <w:r w:rsidRPr="009E2627">
              <w:rPr>
                <w:bCs/>
                <w:sz w:val="20"/>
                <w:szCs w:val="20"/>
              </w:rPr>
              <w:t xml:space="preserve">alleged or factual test irregularities.     </w:t>
            </w:r>
          </w:p>
          <w:p w14:paraId="603F685F" w14:textId="77777777" w:rsidR="004B0E92" w:rsidRPr="0077197F" w:rsidRDefault="004B0E92" w:rsidP="008D31CB">
            <w:pPr>
              <w:pStyle w:val="ListParagraph"/>
              <w:numPr>
                <w:ilvl w:val="0"/>
                <w:numId w:val="16"/>
              </w:numPr>
              <w:rPr>
                <w:sz w:val="20"/>
                <w:szCs w:val="20"/>
              </w:rPr>
            </w:pPr>
            <w:r w:rsidRPr="009E2627">
              <w:rPr>
                <w:bCs/>
                <w:sz w:val="20"/>
                <w:szCs w:val="20"/>
              </w:rPr>
              <w:t>Application of test security procedures to the general ELP assessments and the AELPA.</w:t>
            </w:r>
          </w:p>
        </w:tc>
        <w:tc>
          <w:tcPr>
            <w:tcW w:w="4779" w:type="dxa"/>
            <w:shd w:val="clear" w:color="auto" w:fill="auto"/>
          </w:tcPr>
          <w:p w14:paraId="7B93FC8B" w14:textId="77777777" w:rsidR="004B0E92" w:rsidRDefault="004B0E92" w:rsidP="00385738">
            <w:pPr>
              <w:autoSpaceDE w:val="0"/>
              <w:autoSpaceDN w:val="0"/>
              <w:adjustRightInd w:val="0"/>
              <w:rPr>
                <w:sz w:val="20"/>
                <w:szCs w:val="20"/>
              </w:rPr>
            </w:pPr>
            <w:r>
              <w:rPr>
                <w:sz w:val="20"/>
                <w:szCs w:val="20"/>
              </w:rPr>
              <w:t>LAS Links Test Security Overview, January 2019</w:t>
            </w:r>
          </w:p>
          <w:p w14:paraId="774C603F" w14:textId="77777777" w:rsidR="004B0E92" w:rsidRDefault="004B0E92" w:rsidP="00385738">
            <w:pPr>
              <w:autoSpaceDE w:val="0"/>
              <w:autoSpaceDN w:val="0"/>
              <w:adjustRightInd w:val="0"/>
              <w:rPr>
                <w:sz w:val="20"/>
                <w:szCs w:val="20"/>
              </w:rPr>
            </w:pPr>
          </w:p>
          <w:p w14:paraId="4815458D" w14:textId="77777777" w:rsidR="004B0E92" w:rsidRDefault="004B0E92" w:rsidP="00385738">
            <w:pPr>
              <w:autoSpaceDE w:val="0"/>
              <w:autoSpaceDN w:val="0"/>
              <w:adjustRightInd w:val="0"/>
              <w:rPr>
                <w:sz w:val="20"/>
                <w:szCs w:val="20"/>
              </w:rPr>
            </w:pPr>
            <w:r>
              <w:rPr>
                <w:sz w:val="20"/>
                <w:szCs w:val="20"/>
              </w:rPr>
              <w:t>Testing Irregularity Report Form</w:t>
            </w:r>
          </w:p>
          <w:p w14:paraId="731A0504" w14:textId="77777777" w:rsidR="004B0E92" w:rsidRDefault="004B0E92" w:rsidP="00385738">
            <w:pPr>
              <w:autoSpaceDE w:val="0"/>
              <w:autoSpaceDN w:val="0"/>
              <w:adjustRightInd w:val="0"/>
              <w:rPr>
                <w:sz w:val="20"/>
                <w:szCs w:val="20"/>
              </w:rPr>
            </w:pPr>
          </w:p>
          <w:p w14:paraId="483F5FA4" w14:textId="77777777" w:rsidR="004B0E92" w:rsidRDefault="004B0E92" w:rsidP="00385738">
            <w:pPr>
              <w:autoSpaceDE w:val="0"/>
              <w:autoSpaceDN w:val="0"/>
              <w:adjustRightInd w:val="0"/>
              <w:rPr>
                <w:sz w:val="20"/>
                <w:szCs w:val="20"/>
              </w:rPr>
            </w:pPr>
            <w:r>
              <w:rPr>
                <w:sz w:val="20"/>
                <w:szCs w:val="20"/>
              </w:rPr>
              <w:t>MS Test Audit-Monitoring Instrument</w:t>
            </w:r>
          </w:p>
          <w:p w14:paraId="4244F3B7" w14:textId="77777777" w:rsidR="004B0E92" w:rsidRDefault="004B0E92" w:rsidP="00385738">
            <w:pPr>
              <w:autoSpaceDE w:val="0"/>
              <w:autoSpaceDN w:val="0"/>
              <w:adjustRightInd w:val="0"/>
              <w:rPr>
                <w:sz w:val="20"/>
                <w:szCs w:val="20"/>
              </w:rPr>
            </w:pPr>
          </w:p>
          <w:p w14:paraId="6A4684DA" w14:textId="77777777" w:rsidR="004B0E92" w:rsidRDefault="004B0E92" w:rsidP="00385738">
            <w:pPr>
              <w:autoSpaceDE w:val="0"/>
              <w:autoSpaceDN w:val="0"/>
              <w:adjustRightInd w:val="0"/>
              <w:rPr>
                <w:sz w:val="20"/>
                <w:szCs w:val="20"/>
              </w:rPr>
            </w:pPr>
            <w:r>
              <w:rPr>
                <w:sz w:val="20"/>
                <w:szCs w:val="20"/>
              </w:rPr>
              <w:t>MS Public School Accountability Standards, 10-</w:t>
            </w:r>
          </w:p>
          <w:p w14:paraId="2E638313" w14:textId="77777777" w:rsidR="004B0E92" w:rsidRDefault="004B0E92" w:rsidP="00385738">
            <w:pPr>
              <w:autoSpaceDE w:val="0"/>
              <w:autoSpaceDN w:val="0"/>
              <w:adjustRightInd w:val="0"/>
              <w:rPr>
                <w:sz w:val="20"/>
                <w:szCs w:val="20"/>
              </w:rPr>
            </w:pPr>
            <w:r>
              <w:rPr>
                <w:sz w:val="20"/>
                <w:szCs w:val="20"/>
              </w:rPr>
              <w:t>2018, Appendix F (Standard 16), pgs. 92-102.</w:t>
            </w:r>
          </w:p>
          <w:p w14:paraId="3AA84E9D" w14:textId="77777777" w:rsidR="004B0E92" w:rsidRDefault="004B0E92" w:rsidP="00385738">
            <w:pPr>
              <w:autoSpaceDE w:val="0"/>
              <w:autoSpaceDN w:val="0"/>
              <w:adjustRightInd w:val="0"/>
              <w:rPr>
                <w:sz w:val="20"/>
                <w:szCs w:val="20"/>
              </w:rPr>
            </w:pPr>
          </w:p>
          <w:p w14:paraId="65DCA74A" w14:textId="77777777" w:rsidR="004B0E92" w:rsidRDefault="004B0E92" w:rsidP="00385738">
            <w:pPr>
              <w:autoSpaceDE w:val="0"/>
              <w:autoSpaceDN w:val="0"/>
              <w:adjustRightInd w:val="0"/>
              <w:rPr>
                <w:sz w:val="20"/>
                <w:szCs w:val="20"/>
              </w:rPr>
            </w:pPr>
            <w:r>
              <w:rPr>
                <w:rFonts w:ascii="Wingdings-Regular" w:eastAsia="Wingdings-Regular" w:cs="Wingdings-Regular"/>
                <w:sz w:val="20"/>
                <w:szCs w:val="20"/>
              </w:rPr>
              <w:t xml:space="preserve"> </w:t>
            </w:r>
            <w:r>
              <w:rPr>
                <w:sz w:val="20"/>
                <w:szCs w:val="20"/>
              </w:rPr>
              <w:t>MS Public School Accountability Standards,</w:t>
            </w:r>
          </w:p>
          <w:p w14:paraId="5D0A9BF2" w14:textId="77777777" w:rsidR="004B0E92" w:rsidRDefault="004B0E92" w:rsidP="00385738">
            <w:pPr>
              <w:autoSpaceDE w:val="0"/>
              <w:autoSpaceDN w:val="0"/>
              <w:adjustRightInd w:val="0"/>
              <w:rPr>
                <w:sz w:val="20"/>
                <w:szCs w:val="20"/>
              </w:rPr>
            </w:pPr>
            <w:r>
              <w:rPr>
                <w:sz w:val="20"/>
                <w:szCs w:val="20"/>
              </w:rPr>
              <w:t>October 2018, Section 5.3 Special Test Audits,</w:t>
            </w:r>
          </w:p>
          <w:p w14:paraId="7B0D797D" w14:textId="77777777" w:rsidR="004B0E92" w:rsidRDefault="004B0E92" w:rsidP="00385738">
            <w:pPr>
              <w:autoSpaceDE w:val="0"/>
              <w:autoSpaceDN w:val="0"/>
              <w:adjustRightInd w:val="0"/>
              <w:rPr>
                <w:sz w:val="20"/>
                <w:szCs w:val="20"/>
              </w:rPr>
            </w:pPr>
            <w:r>
              <w:rPr>
                <w:sz w:val="20"/>
                <w:szCs w:val="20"/>
              </w:rPr>
              <w:t>pg.12, pg. 94 Section 4 Item 5d.</w:t>
            </w:r>
          </w:p>
          <w:p w14:paraId="4EFAA3CD" w14:textId="77777777" w:rsidR="004B0E92" w:rsidRDefault="004B0E92" w:rsidP="00385738">
            <w:pPr>
              <w:autoSpaceDE w:val="0"/>
              <w:autoSpaceDN w:val="0"/>
              <w:adjustRightInd w:val="0"/>
              <w:rPr>
                <w:sz w:val="20"/>
                <w:szCs w:val="20"/>
              </w:rPr>
            </w:pPr>
          </w:p>
          <w:p w14:paraId="006ABED3" w14:textId="77777777" w:rsidR="004B0E92" w:rsidRDefault="004B0E92" w:rsidP="00385738">
            <w:pPr>
              <w:autoSpaceDE w:val="0"/>
              <w:autoSpaceDN w:val="0"/>
              <w:adjustRightInd w:val="0"/>
              <w:rPr>
                <w:sz w:val="20"/>
                <w:szCs w:val="20"/>
              </w:rPr>
            </w:pPr>
            <w:r>
              <w:rPr>
                <w:sz w:val="20"/>
                <w:szCs w:val="20"/>
              </w:rPr>
              <w:t>Student Assessment Handbook - October 2015, pgs.</w:t>
            </w:r>
          </w:p>
          <w:p w14:paraId="1A2765D8" w14:textId="77777777" w:rsidR="004B0E92" w:rsidRDefault="004B0E92" w:rsidP="00385738">
            <w:pPr>
              <w:rPr>
                <w:sz w:val="20"/>
                <w:szCs w:val="20"/>
              </w:rPr>
            </w:pPr>
            <w:r>
              <w:rPr>
                <w:sz w:val="20"/>
                <w:szCs w:val="20"/>
              </w:rPr>
              <w:t>26-33.</w:t>
            </w:r>
          </w:p>
          <w:p w14:paraId="747AC3FE" w14:textId="77777777" w:rsidR="004B0E92" w:rsidRDefault="004B0E92" w:rsidP="00385738">
            <w:pPr>
              <w:rPr>
                <w:sz w:val="20"/>
                <w:szCs w:val="20"/>
              </w:rPr>
            </w:pPr>
          </w:p>
          <w:p w14:paraId="24BDD947" w14:textId="77777777" w:rsidR="004B0E92" w:rsidRPr="0077197F" w:rsidRDefault="004B0E92" w:rsidP="00385738">
            <w:pPr>
              <w:rPr>
                <w:sz w:val="20"/>
                <w:szCs w:val="20"/>
              </w:rPr>
            </w:pPr>
            <w:r>
              <w:rPr>
                <w:sz w:val="20"/>
                <w:szCs w:val="20"/>
              </w:rPr>
              <w:t>Evidence not cited by the state but supporting this CE were the training Power Points and documentation of attendance at training.</w:t>
            </w:r>
          </w:p>
        </w:tc>
        <w:tc>
          <w:tcPr>
            <w:tcW w:w="5013" w:type="dxa"/>
            <w:shd w:val="clear" w:color="auto" w:fill="auto"/>
          </w:tcPr>
          <w:p w14:paraId="22454D8A" w14:textId="77777777" w:rsidR="004B0E92" w:rsidRPr="009E2627" w:rsidRDefault="004B0E92" w:rsidP="00385738">
            <w:pPr>
              <w:rPr>
                <w:b/>
                <w:sz w:val="20"/>
                <w:szCs w:val="20"/>
              </w:rPr>
            </w:pPr>
            <w:r w:rsidRPr="009E2627">
              <w:rPr>
                <w:b/>
                <w:sz w:val="20"/>
                <w:szCs w:val="20"/>
              </w:rPr>
              <w:t>Prevention</w:t>
            </w:r>
          </w:p>
          <w:p w14:paraId="57BC6B51" w14:textId="77777777" w:rsidR="004B0E92" w:rsidRPr="003A3708" w:rsidRDefault="004B0E92" w:rsidP="00385738">
            <w:pPr>
              <w:rPr>
                <w:sz w:val="20"/>
                <w:szCs w:val="20"/>
              </w:rPr>
            </w:pPr>
            <w:r w:rsidRPr="003A3708">
              <w:rPr>
                <w:sz w:val="20"/>
                <w:szCs w:val="20"/>
              </w:rPr>
              <w:t>The state’s standards provide expectations for procedures, investigations, and</w:t>
            </w:r>
            <w:r>
              <w:rPr>
                <w:sz w:val="20"/>
                <w:szCs w:val="20"/>
              </w:rPr>
              <w:t xml:space="preserve"> the</w:t>
            </w:r>
            <w:r w:rsidRPr="003A3708">
              <w:rPr>
                <w:sz w:val="20"/>
                <w:szCs w:val="20"/>
              </w:rPr>
              <w:t xml:space="preserve"> expectation that staff are trained on security procedures. </w:t>
            </w:r>
          </w:p>
          <w:p w14:paraId="726DE780" w14:textId="77777777" w:rsidR="004B0E92" w:rsidRPr="003A3708" w:rsidRDefault="004B0E92" w:rsidP="00385738">
            <w:pPr>
              <w:rPr>
                <w:sz w:val="20"/>
                <w:szCs w:val="20"/>
              </w:rPr>
            </w:pPr>
          </w:p>
          <w:p w14:paraId="7D571AF9" w14:textId="77777777" w:rsidR="004B0E92" w:rsidRDefault="004B0E92" w:rsidP="00385738">
            <w:pPr>
              <w:rPr>
                <w:sz w:val="20"/>
                <w:szCs w:val="20"/>
              </w:rPr>
            </w:pPr>
            <w:r w:rsidRPr="003A3708">
              <w:rPr>
                <w:sz w:val="20"/>
                <w:szCs w:val="20"/>
              </w:rPr>
              <w:t>Security expectations for paper-based ELP</w:t>
            </w:r>
            <w:r>
              <w:rPr>
                <w:sz w:val="20"/>
                <w:szCs w:val="20"/>
              </w:rPr>
              <w:t xml:space="preserve"> assessments are </w:t>
            </w:r>
            <w:r w:rsidRPr="003A3708">
              <w:rPr>
                <w:sz w:val="20"/>
                <w:szCs w:val="20"/>
              </w:rPr>
              <w:t xml:space="preserve">described on p. 24 of the </w:t>
            </w:r>
            <w:r>
              <w:rPr>
                <w:sz w:val="20"/>
                <w:szCs w:val="20"/>
              </w:rPr>
              <w:t xml:space="preserve">test administration </w:t>
            </w:r>
            <w:r w:rsidRPr="003A3708">
              <w:rPr>
                <w:sz w:val="20"/>
                <w:szCs w:val="20"/>
              </w:rPr>
              <w:t xml:space="preserve">manual. Security measures taken by DRC for the online version are documented. </w:t>
            </w:r>
          </w:p>
          <w:p w14:paraId="11B2BDDE" w14:textId="77777777" w:rsidR="004B0E92" w:rsidRDefault="004B0E92" w:rsidP="00385738">
            <w:pPr>
              <w:rPr>
                <w:sz w:val="20"/>
                <w:szCs w:val="20"/>
              </w:rPr>
            </w:pPr>
          </w:p>
          <w:p w14:paraId="112AA76C" w14:textId="77777777" w:rsidR="004B0E92" w:rsidRPr="003A3708" w:rsidRDefault="004B0E92" w:rsidP="00385738">
            <w:pPr>
              <w:rPr>
                <w:sz w:val="20"/>
                <w:szCs w:val="20"/>
              </w:rPr>
            </w:pPr>
            <w:r>
              <w:rPr>
                <w:sz w:val="20"/>
                <w:szCs w:val="20"/>
              </w:rPr>
              <w:t>Although addressed in later sections, peers note that there are only two forms of the test available, and both are several years old. It is unclear how or if the forms are rotated, however this issue results in excessive form and item exposure, which is a concern for test security.</w:t>
            </w:r>
          </w:p>
          <w:p w14:paraId="2C658F6F" w14:textId="77777777" w:rsidR="004B0E92" w:rsidRPr="003A3708" w:rsidRDefault="004B0E92" w:rsidP="00385738">
            <w:pPr>
              <w:rPr>
                <w:sz w:val="20"/>
                <w:szCs w:val="20"/>
              </w:rPr>
            </w:pPr>
          </w:p>
          <w:p w14:paraId="4F3C6DD0" w14:textId="77777777" w:rsidR="004B0E92" w:rsidRPr="009E2627" w:rsidRDefault="004B0E92" w:rsidP="00385738">
            <w:pPr>
              <w:rPr>
                <w:b/>
                <w:sz w:val="20"/>
                <w:szCs w:val="20"/>
              </w:rPr>
            </w:pPr>
            <w:r w:rsidRPr="009E2627">
              <w:rPr>
                <w:b/>
                <w:sz w:val="20"/>
                <w:szCs w:val="20"/>
              </w:rPr>
              <w:t>Detection, investigation, remediation</w:t>
            </w:r>
          </w:p>
          <w:p w14:paraId="5C4DB242" w14:textId="77777777" w:rsidR="004B0E92" w:rsidRPr="003A3708" w:rsidRDefault="004B0E92" w:rsidP="00385738">
            <w:pPr>
              <w:rPr>
                <w:sz w:val="20"/>
                <w:szCs w:val="20"/>
              </w:rPr>
            </w:pPr>
            <w:r w:rsidRPr="003A3708">
              <w:rPr>
                <w:sz w:val="20"/>
                <w:szCs w:val="20"/>
              </w:rPr>
              <w:t xml:space="preserve">The state describes procedures for statistically detecting irregularities and detailed explanations of what constitutes an irregularity, how it is investigated, and potential consequences. </w:t>
            </w:r>
          </w:p>
          <w:p w14:paraId="2BBC64D2" w14:textId="77777777" w:rsidR="004B0E92" w:rsidRPr="003A3708" w:rsidRDefault="004B0E92" w:rsidP="00385738">
            <w:pPr>
              <w:rPr>
                <w:sz w:val="20"/>
                <w:szCs w:val="20"/>
              </w:rPr>
            </w:pPr>
          </w:p>
          <w:p w14:paraId="757493C5" w14:textId="77777777" w:rsidR="004B0E92" w:rsidRPr="003A3708" w:rsidRDefault="004B0E92" w:rsidP="00385738">
            <w:pPr>
              <w:rPr>
                <w:sz w:val="20"/>
                <w:szCs w:val="20"/>
              </w:rPr>
            </w:pPr>
            <w:r w:rsidRPr="003A3708">
              <w:rPr>
                <w:sz w:val="20"/>
                <w:szCs w:val="20"/>
              </w:rPr>
              <w:t xml:space="preserve">The state has a mechanism to audit on-site administration for potential signs of irregularities or test security violations and a means for local test coordinators to report potential irregularities. </w:t>
            </w:r>
          </w:p>
          <w:p w14:paraId="1455D159" w14:textId="77777777" w:rsidR="004B0E92" w:rsidRPr="003A3708" w:rsidRDefault="004B0E92" w:rsidP="00385738">
            <w:pPr>
              <w:rPr>
                <w:sz w:val="20"/>
                <w:szCs w:val="20"/>
              </w:rPr>
            </w:pPr>
          </w:p>
          <w:p w14:paraId="3B4D02A6" w14:textId="77777777" w:rsidR="004B0E92" w:rsidRPr="003A3708" w:rsidRDefault="004B0E92" w:rsidP="00385738">
            <w:pPr>
              <w:rPr>
                <w:sz w:val="20"/>
                <w:szCs w:val="20"/>
              </w:rPr>
            </w:pPr>
            <w:r w:rsidRPr="003A3708">
              <w:rPr>
                <w:sz w:val="20"/>
                <w:szCs w:val="20"/>
              </w:rPr>
              <w:t>Evidence was largely based on materials that apply to the entire statewide assessment program, so the processes related to ELP assessments is not specifically called out.</w:t>
            </w:r>
          </w:p>
          <w:p w14:paraId="146B6071" w14:textId="77777777" w:rsidR="004B0E92" w:rsidRDefault="004B0E92" w:rsidP="00385738">
            <w:pPr>
              <w:rPr>
                <w:sz w:val="20"/>
                <w:szCs w:val="20"/>
              </w:rPr>
            </w:pPr>
          </w:p>
          <w:p w14:paraId="765F831F" w14:textId="77777777" w:rsidR="004B0E92" w:rsidRPr="0077197F" w:rsidRDefault="004B0E92" w:rsidP="00385738">
            <w:pPr>
              <w:rPr>
                <w:sz w:val="20"/>
                <w:szCs w:val="20"/>
              </w:rPr>
            </w:pPr>
            <w:r>
              <w:rPr>
                <w:sz w:val="20"/>
                <w:szCs w:val="20"/>
              </w:rPr>
              <w:t xml:space="preserve">Peers could not find confirmatory evidence that policies and procedures concerning test security are implemented. Peers recommend that the state submit evidence such as auditing cycles, results/follow-up of test security incidents, </w:t>
            </w:r>
            <w:r>
              <w:rPr>
                <w:sz w:val="20"/>
                <w:szCs w:val="20"/>
              </w:rPr>
              <w:lastRenderedPageBreak/>
              <w:t xml:space="preserve">and SEA responses to or consequences of incidents, including remediation plans. Additional evidence should include samples of District Test Security Plans, and some type of documentation that districts met deadlines for submitting the plans to the state.  </w:t>
            </w:r>
          </w:p>
        </w:tc>
      </w:tr>
      <w:tr w:rsidR="004B0E92" w:rsidRPr="00532BBF" w14:paraId="47B1819A" w14:textId="77777777" w:rsidTr="00385738">
        <w:tc>
          <w:tcPr>
            <w:tcW w:w="13410" w:type="dxa"/>
            <w:gridSpan w:val="3"/>
            <w:shd w:val="clear" w:color="auto" w:fill="auto"/>
          </w:tcPr>
          <w:p w14:paraId="421C0325" w14:textId="77777777" w:rsidR="004B0E92" w:rsidRPr="00532BBF" w:rsidRDefault="004B0E92" w:rsidP="00385738">
            <w:pPr>
              <w:pStyle w:val="Heading4"/>
            </w:pPr>
            <w:r>
              <w:lastRenderedPageBreak/>
              <w:t>Section 2.5</w:t>
            </w:r>
            <w:r w:rsidRPr="00532BBF">
              <w:t xml:space="preserve"> Summary Statement</w:t>
            </w:r>
          </w:p>
        </w:tc>
      </w:tr>
      <w:tr w:rsidR="004B0E92" w:rsidRPr="00532BBF" w14:paraId="7E328CD9" w14:textId="77777777" w:rsidTr="00385738">
        <w:tc>
          <w:tcPr>
            <w:tcW w:w="13410" w:type="dxa"/>
            <w:gridSpan w:val="3"/>
            <w:shd w:val="clear" w:color="auto" w:fill="auto"/>
          </w:tcPr>
          <w:p w14:paraId="7FC5BEA4" w14:textId="77777777" w:rsidR="004B0E92" w:rsidRPr="00532BBF" w:rsidRDefault="004B0E92" w:rsidP="00385738">
            <w:pPr>
              <w:rPr>
                <w:sz w:val="20"/>
                <w:szCs w:val="20"/>
              </w:rPr>
            </w:pPr>
            <w:r w:rsidRPr="00532BBF">
              <w:rPr>
                <w:sz w:val="20"/>
                <w:szCs w:val="20"/>
              </w:rPr>
              <w:t>___ No additional evidence is required or</w:t>
            </w:r>
          </w:p>
          <w:p w14:paraId="602FA7A4" w14:textId="77777777" w:rsidR="004B0E92" w:rsidRPr="00532BBF" w:rsidRDefault="004B0E92" w:rsidP="00385738">
            <w:pPr>
              <w:rPr>
                <w:sz w:val="20"/>
                <w:szCs w:val="20"/>
              </w:rPr>
            </w:pPr>
          </w:p>
          <w:p w14:paraId="1F3F2768" w14:textId="77777777" w:rsidR="004B0E92" w:rsidRPr="00532BBF" w:rsidRDefault="004B0E9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54D778AD" w14:textId="77777777" w:rsidR="004B0E92" w:rsidRPr="009E2627" w:rsidRDefault="004B0E92" w:rsidP="008D31CB">
            <w:pPr>
              <w:pStyle w:val="ListParagraph"/>
              <w:numPr>
                <w:ilvl w:val="0"/>
                <w:numId w:val="16"/>
              </w:numPr>
              <w:rPr>
                <w:sz w:val="20"/>
                <w:szCs w:val="20"/>
              </w:rPr>
            </w:pPr>
            <w:r>
              <w:rPr>
                <w:sz w:val="20"/>
                <w:szCs w:val="20"/>
              </w:rPr>
              <w:t>Evidence that there are sufficient processes in place to prevent overexposure of test forms or test items;</w:t>
            </w:r>
          </w:p>
          <w:p w14:paraId="693D7204" w14:textId="77777777" w:rsidR="004B0E92" w:rsidRPr="009E2627" w:rsidRDefault="004B0E92" w:rsidP="008D31CB">
            <w:pPr>
              <w:pStyle w:val="ListParagraph"/>
              <w:numPr>
                <w:ilvl w:val="0"/>
                <w:numId w:val="16"/>
              </w:numPr>
              <w:rPr>
                <w:sz w:val="20"/>
                <w:szCs w:val="20"/>
              </w:rPr>
            </w:pPr>
            <w:r>
              <w:rPr>
                <w:sz w:val="20"/>
                <w:szCs w:val="20"/>
              </w:rPr>
              <w:t xml:space="preserve">Evidence that the state has taken steps to monitor test security and remediate </w:t>
            </w:r>
            <w:r w:rsidRPr="009E2627">
              <w:rPr>
                <w:sz w:val="20"/>
                <w:szCs w:val="20"/>
              </w:rPr>
              <w:t>any test security incidents;</w:t>
            </w:r>
          </w:p>
          <w:p w14:paraId="754BF63E" w14:textId="77777777" w:rsidR="004B0E92" w:rsidRPr="00532BBF" w:rsidRDefault="004B0E92" w:rsidP="008D31CB">
            <w:pPr>
              <w:pStyle w:val="ListParagraph"/>
              <w:numPr>
                <w:ilvl w:val="0"/>
                <w:numId w:val="16"/>
              </w:numPr>
              <w:rPr>
                <w:sz w:val="20"/>
                <w:szCs w:val="20"/>
              </w:rPr>
            </w:pPr>
            <w:r>
              <w:rPr>
                <w:sz w:val="20"/>
                <w:szCs w:val="20"/>
              </w:rPr>
              <w:t>Evidence that the state has i</w:t>
            </w:r>
            <w:r w:rsidRPr="009E2627">
              <w:rPr>
                <w:sz w:val="20"/>
                <w:szCs w:val="20"/>
              </w:rPr>
              <w:t>nvestigat</w:t>
            </w:r>
            <w:r>
              <w:rPr>
                <w:sz w:val="20"/>
                <w:szCs w:val="20"/>
              </w:rPr>
              <w:t xml:space="preserve">ed </w:t>
            </w:r>
            <w:r w:rsidRPr="009E2627">
              <w:rPr>
                <w:bCs/>
                <w:sz w:val="20"/>
                <w:szCs w:val="20"/>
              </w:rPr>
              <w:t>alleged or factual test irre</w:t>
            </w:r>
            <w:r>
              <w:rPr>
                <w:bCs/>
                <w:sz w:val="20"/>
                <w:szCs w:val="20"/>
              </w:rPr>
              <w:t>gularities</w:t>
            </w:r>
            <w:r w:rsidRPr="009E2627">
              <w:rPr>
                <w:bCs/>
                <w:sz w:val="20"/>
                <w:szCs w:val="20"/>
              </w:rPr>
              <w:t xml:space="preserve">  </w:t>
            </w:r>
          </w:p>
        </w:tc>
      </w:tr>
    </w:tbl>
    <w:p w14:paraId="7452696C" w14:textId="77777777" w:rsidR="004B0E92" w:rsidRDefault="004B0E92" w:rsidP="004B0E92">
      <w:pPr>
        <w:rPr>
          <w:b/>
          <w:sz w:val="20"/>
        </w:rPr>
      </w:pPr>
    </w:p>
    <w:p w14:paraId="18A35989" w14:textId="77777777" w:rsidR="004B0E92" w:rsidRPr="00D84518" w:rsidRDefault="004B0E92" w:rsidP="004B0E92">
      <w:pPr>
        <w:pStyle w:val="Heading2"/>
      </w:pPr>
      <w:r>
        <w:br w:type="page"/>
      </w:r>
      <w:bookmarkStart w:id="17" w:name="_Toc3354965"/>
      <w:r w:rsidRPr="00473D30">
        <w:lastRenderedPageBreak/>
        <w:t>Critical Element 2.6 – Systems for Protecting Data Integrity and Privacy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00AAD36F"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4DAE95A4"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AF893F"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2311978"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19D0CE7D" w14:textId="77777777" w:rsidTr="00385738">
        <w:tc>
          <w:tcPr>
            <w:tcW w:w="3618" w:type="dxa"/>
            <w:shd w:val="clear" w:color="auto" w:fill="auto"/>
          </w:tcPr>
          <w:p w14:paraId="347DFDB3" w14:textId="77777777" w:rsidR="004B0E92" w:rsidRPr="002313D0" w:rsidRDefault="004B0E92" w:rsidP="00385738">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607A9498" w14:textId="77777777" w:rsidR="004B0E92" w:rsidRPr="00085A39" w:rsidRDefault="004B0E92" w:rsidP="008D31CB">
            <w:pPr>
              <w:pStyle w:val="ListParagraph"/>
              <w:numPr>
                <w:ilvl w:val="0"/>
                <w:numId w:val="17"/>
              </w:numPr>
              <w:rPr>
                <w:b/>
                <w:sz w:val="20"/>
                <w:szCs w:val="20"/>
              </w:rPr>
            </w:pPr>
            <w:r w:rsidRPr="00085A39">
              <w:rPr>
                <w:sz w:val="20"/>
                <w:szCs w:val="20"/>
              </w:rPr>
              <w:t>To protect the integrity of its test-related data in test administration, scoring, storage and use of results;</w:t>
            </w:r>
          </w:p>
          <w:p w14:paraId="59A36505" w14:textId="77777777" w:rsidR="004B0E92" w:rsidRPr="00085A39" w:rsidRDefault="004B0E92" w:rsidP="008D31CB">
            <w:pPr>
              <w:pStyle w:val="ListParagraph"/>
              <w:numPr>
                <w:ilvl w:val="0"/>
                <w:numId w:val="17"/>
              </w:numPr>
              <w:rPr>
                <w:b/>
                <w:sz w:val="20"/>
                <w:szCs w:val="20"/>
              </w:rPr>
            </w:pPr>
            <w:r w:rsidRPr="00085A39">
              <w:rPr>
                <w:sz w:val="20"/>
              </w:rPr>
              <w:t xml:space="preserve">To secure student-level assessment data and protect student privacy and confidentiality, including guidelines for </w:t>
            </w:r>
            <w:r w:rsidRPr="00085A39">
              <w:rPr>
                <w:color w:val="000000"/>
                <w:sz w:val="20"/>
                <w:szCs w:val="20"/>
              </w:rPr>
              <w:t xml:space="preserve">districts and schools; </w:t>
            </w:r>
          </w:p>
          <w:p w14:paraId="6C675239" w14:textId="77777777" w:rsidR="004B0E92" w:rsidRPr="0077197F" w:rsidRDefault="004B0E92" w:rsidP="008D31CB">
            <w:pPr>
              <w:pStyle w:val="ListParagraph"/>
              <w:numPr>
                <w:ilvl w:val="0"/>
                <w:numId w:val="17"/>
              </w:numPr>
              <w:rPr>
                <w:b/>
                <w:sz w:val="20"/>
                <w:szCs w:val="20"/>
              </w:rPr>
            </w:pPr>
            <w:r w:rsidRPr="00085A39">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52CA33A4"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LAS Links Testing Security Overview, January</w:t>
            </w:r>
          </w:p>
          <w:p w14:paraId="322BF9D0"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2019</w:t>
            </w:r>
          </w:p>
          <w:p w14:paraId="5C1B753B" w14:textId="77777777" w:rsidR="004B0E92" w:rsidRDefault="004B0E92" w:rsidP="00385738">
            <w:pPr>
              <w:autoSpaceDE w:val="0"/>
              <w:autoSpaceDN w:val="0"/>
              <w:adjustRightInd w:val="0"/>
              <w:rPr>
                <w:rFonts w:eastAsia="Wingdings-Regular"/>
                <w:sz w:val="20"/>
                <w:szCs w:val="20"/>
              </w:rPr>
            </w:pPr>
          </w:p>
          <w:p w14:paraId="246D3C04"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MS Public School Accountability Standards, 10-</w:t>
            </w:r>
          </w:p>
          <w:p w14:paraId="0DA4284B"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2018, Appendix F (Standard 16), pgs. 92-102.</w:t>
            </w:r>
          </w:p>
          <w:p w14:paraId="6DAA799E" w14:textId="77777777" w:rsidR="004B0E92" w:rsidRDefault="004B0E92" w:rsidP="00385738">
            <w:pPr>
              <w:autoSpaceDE w:val="0"/>
              <w:autoSpaceDN w:val="0"/>
              <w:adjustRightInd w:val="0"/>
              <w:rPr>
                <w:rFonts w:eastAsia="Wingdings-Regular"/>
                <w:sz w:val="20"/>
                <w:szCs w:val="20"/>
              </w:rPr>
            </w:pPr>
          </w:p>
          <w:p w14:paraId="4008A154"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MS Public School Accountability Standards, 10-</w:t>
            </w:r>
          </w:p>
          <w:p w14:paraId="2621E1F8"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2018, Section 5.3 Special Test Audits, pg. 12. pgs.</w:t>
            </w:r>
          </w:p>
          <w:p w14:paraId="7CE6A162"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92-93 Section 4 Items 1-4.</w:t>
            </w:r>
          </w:p>
          <w:p w14:paraId="36CA38F1" w14:textId="77777777" w:rsidR="004B0E92" w:rsidRDefault="004B0E92" w:rsidP="00385738">
            <w:pPr>
              <w:autoSpaceDE w:val="0"/>
              <w:autoSpaceDN w:val="0"/>
              <w:adjustRightInd w:val="0"/>
              <w:rPr>
                <w:rFonts w:eastAsia="Wingdings-Regular"/>
                <w:sz w:val="20"/>
                <w:szCs w:val="20"/>
              </w:rPr>
            </w:pPr>
          </w:p>
          <w:p w14:paraId="06F757A3"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Student Assessment Handbook - October 2015</w:t>
            </w:r>
          </w:p>
          <w:p w14:paraId="59E9B2C6" w14:textId="77777777" w:rsidR="004B0E92" w:rsidRDefault="004B0E92" w:rsidP="00385738">
            <w:pPr>
              <w:autoSpaceDE w:val="0"/>
              <w:autoSpaceDN w:val="0"/>
              <w:adjustRightInd w:val="0"/>
              <w:rPr>
                <w:rFonts w:eastAsia="Wingdings-Regular"/>
                <w:sz w:val="20"/>
                <w:szCs w:val="20"/>
              </w:rPr>
            </w:pPr>
          </w:p>
          <w:p w14:paraId="757C365C"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Mississippi Data Governance Guidelines - May</w:t>
            </w:r>
          </w:p>
          <w:p w14:paraId="393E5EDC"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2017, Section 4.5 (pg. 8), Section 6 (pg. 11),</w:t>
            </w:r>
          </w:p>
          <w:p w14:paraId="28C9E614"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Section 8 (pg. 12), Section 9 (pg. 13)</w:t>
            </w:r>
          </w:p>
          <w:p w14:paraId="648C6408" w14:textId="77777777" w:rsidR="004B0E92" w:rsidRDefault="004B0E92" w:rsidP="00385738">
            <w:pPr>
              <w:autoSpaceDE w:val="0"/>
              <w:autoSpaceDN w:val="0"/>
              <w:adjustRightInd w:val="0"/>
              <w:rPr>
                <w:rFonts w:eastAsia="Wingdings-Regular"/>
                <w:sz w:val="20"/>
                <w:szCs w:val="20"/>
              </w:rPr>
            </w:pPr>
          </w:p>
          <w:p w14:paraId="78E66DC8" w14:textId="77777777" w:rsidR="004B0E92" w:rsidRDefault="004B0E92" w:rsidP="00385738">
            <w:pPr>
              <w:autoSpaceDE w:val="0"/>
              <w:autoSpaceDN w:val="0"/>
              <w:adjustRightInd w:val="0"/>
              <w:rPr>
                <w:rFonts w:eastAsia="Wingdings-Regular"/>
                <w:sz w:val="20"/>
                <w:szCs w:val="20"/>
              </w:rPr>
            </w:pPr>
            <w:r>
              <w:rPr>
                <w:rFonts w:eastAsia="Wingdings-Regular"/>
                <w:sz w:val="20"/>
                <w:szCs w:val="20"/>
              </w:rPr>
              <w:t>Executed MOU for Data Recognition Corporation</w:t>
            </w:r>
          </w:p>
          <w:p w14:paraId="3B0E7A8E" w14:textId="77777777" w:rsidR="004B0E92" w:rsidRPr="0077197F" w:rsidRDefault="004B0E92" w:rsidP="00385738">
            <w:pPr>
              <w:pStyle w:val="ListParagraph"/>
              <w:ind w:left="0"/>
              <w:rPr>
                <w:sz w:val="20"/>
                <w:szCs w:val="20"/>
              </w:rPr>
            </w:pPr>
            <w:r>
              <w:rPr>
                <w:rFonts w:eastAsia="Wingdings-Regular"/>
                <w:sz w:val="20"/>
                <w:szCs w:val="20"/>
              </w:rPr>
              <w:t>1.14.2016</w:t>
            </w:r>
          </w:p>
        </w:tc>
        <w:tc>
          <w:tcPr>
            <w:tcW w:w="5013" w:type="dxa"/>
            <w:shd w:val="clear" w:color="auto" w:fill="auto"/>
          </w:tcPr>
          <w:p w14:paraId="35807ED1" w14:textId="77777777" w:rsidR="004B0E92" w:rsidRPr="00085A39" w:rsidRDefault="004B0E92" w:rsidP="00385738">
            <w:pPr>
              <w:rPr>
                <w:b/>
                <w:sz w:val="20"/>
                <w:szCs w:val="20"/>
              </w:rPr>
            </w:pPr>
            <w:r w:rsidRPr="00085A39">
              <w:rPr>
                <w:b/>
                <w:sz w:val="20"/>
                <w:szCs w:val="20"/>
              </w:rPr>
              <w:t>Integrity</w:t>
            </w:r>
          </w:p>
          <w:p w14:paraId="1D8DDA9D" w14:textId="77777777" w:rsidR="004B0E92" w:rsidRDefault="004B0E92" w:rsidP="00385738">
            <w:pPr>
              <w:rPr>
                <w:sz w:val="20"/>
                <w:szCs w:val="20"/>
              </w:rPr>
            </w:pPr>
            <w:r w:rsidRPr="00085A39">
              <w:rPr>
                <w:sz w:val="20"/>
                <w:szCs w:val="20"/>
              </w:rPr>
              <w:t>Integrity of test data during the administration process is described in response to CE</w:t>
            </w:r>
            <w:r>
              <w:rPr>
                <w:sz w:val="20"/>
                <w:szCs w:val="20"/>
              </w:rPr>
              <w:t xml:space="preserve"> </w:t>
            </w:r>
            <w:r w:rsidRPr="00085A39">
              <w:rPr>
                <w:sz w:val="20"/>
                <w:szCs w:val="20"/>
              </w:rPr>
              <w:t>2.5 for both online and paper versions of the ELP assessment.</w:t>
            </w:r>
          </w:p>
          <w:p w14:paraId="660885D6" w14:textId="77777777" w:rsidR="004B0E92" w:rsidRPr="00085A39" w:rsidRDefault="004B0E92" w:rsidP="00385738">
            <w:pPr>
              <w:rPr>
                <w:sz w:val="20"/>
                <w:szCs w:val="20"/>
              </w:rPr>
            </w:pPr>
          </w:p>
          <w:p w14:paraId="7003438C" w14:textId="77777777" w:rsidR="004B0E92" w:rsidRPr="00085A39" w:rsidRDefault="004B0E92" w:rsidP="00385738">
            <w:pPr>
              <w:rPr>
                <w:sz w:val="20"/>
                <w:szCs w:val="20"/>
              </w:rPr>
            </w:pPr>
            <w:r>
              <w:rPr>
                <w:sz w:val="20"/>
                <w:szCs w:val="20"/>
              </w:rPr>
              <w:t>The state has guidelines for</w:t>
            </w:r>
            <w:r w:rsidRPr="00085A39">
              <w:rPr>
                <w:sz w:val="20"/>
                <w:szCs w:val="20"/>
              </w:rPr>
              <w:t xml:space="preserve"> collection and reporting of data, including responsible roles, and procedures for responding to data requests from various audiences and conducting audits. The same document refers to a separate document (not provided) that describes procedures for handling data breaches.</w:t>
            </w:r>
            <w:r>
              <w:rPr>
                <w:sz w:val="20"/>
                <w:szCs w:val="20"/>
              </w:rPr>
              <w:t xml:space="preserve"> </w:t>
            </w:r>
            <w:r w:rsidRPr="00085A39">
              <w:rPr>
                <w:sz w:val="20"/>
                <w:szCs w:val="20"/>
              </w:rPr>
              <w:t xml:space="preserve">Vendor procedures for data security during storage and transmittal are described in the evidence. </w:t>
            </w:r>
          </w:p>
          <w:p w14:paraId="484345C6" w14:textId="77777777" w:rsidR="004B0E92" w:rsidRPr="00085A39" w:rsidRDefault="004B0E92" w:rsidP="00385738">
            <w:pPr>
              <w:rPr>
                <w:sz w:val="20"/>
                <w:szCs w:val="20"/>
              </w:rPr>
            </w:pPr>
          </w:p>
          <w:p w14:paraId="57D896C5" w14:textId="77777777" w:rsidR="004B0E92" w:rsidRPr="00085A39" w:rsidRDefault="004B0E92" w:rsidP="00385738">
            <w:pPr>
              <w:rPr>
                <w:b/>
                <w:sz w:val="20"/>
                <w:szCs w:val="20"/>
              </w:rPr>
            </w:pPr>
            <w:r w:rsidRPr="00085A39">
              <w:rPr>
                <w:b/>
                <w:sz w:val="20"/>
                <w:szCs w:val="20"/>
              </w:rPr>
              <w:t>Student privacy</w:t>
            </w:r>
          </w:p>
          <w:p w14:paraId="2B1CD53D" w14:textId="77777777" w:rsidR="004B0E92" w:rsidRDefault="004B0E92" w:rsidP="00385738">
            <w:pPr>
              <w:rPr>
                <w:sz w:val="20"/>
                <w:szCs w:val="20"/>
              </w:rPr>
            </w:pPr>
            <w:r w:rsidRPr="00085A39">
              <w:rPr>
                <w:sz w:val="20"/>
                <w:szCs w:val="20"/>
              </w:rPr>
              <w:t>The state limits access to data for internal staff and requires annual FERPA training.</w:t>
            </w:r>
          </w:p>
          <w:p w14:paraId="0C2D5E8E" w14:textId="77777777" w:rsidR="004B0E92" w:rsidRPr="00085A39" w:rsidRDefault="004B0E92" w:rsidP="00385738">
            <w:pPr>
              <w:rPr>
                <w:sz w:val="20"/>
                <w:szCs w:val="20"/>
              </w:rPr>
            </w:pPr>
          </w:p>
          <w:p w14:paraId="43911573" w14:textId="77777777" w:rsidR="004B0E92" w:rsidRPr="00085A39" w:rsidRDefault="004B0E92" w:rsidP="00385738">
            <w:pPr>
              <w:rPr>
                <w:sz w:val="20"/>
                <w:szCs w:val="20"/>
              </w:rPr>
            </w:pPr>
            <w:r w:rsidRPr="00085A39">
              <w:rPr>
                <w:sz w:val="20"/>
                <w:szCs w:val="20"/>
              </w:rPr>
              <w:t>The state has an MOU with DRC that addresses data security requirements, including storage and right to audit.</w:t>
            </w:r>
          </w:p>
          <w:p w14:paraId="2FF0A888" w14:textId="77777777" w:rsidR="004B0E92" w:rsidRPr="00085A39" w:rsidRDefault="004B0E92" w:rsidP="00385738">
            <w:pPr>
              <w:rPr>
                <w:sz w:val="20"/>
                <w:szCs w:val="20"/>
              </w:rPr>
            </w:pPr>
            <w:r w:rsidRPr="00085A39">
              <w:rPr>
                <w:sz w:val="20"/>
                <w:szCs w:val="20"/>
              </w:rPr>
              <w:t xml:space="preserve">DRC documents procedures to protect PII. </w:t>
            </w:r>
          </w:p>
          <w:p w14:paraId="3E7E3562" w14:textId="77777777" w:rsidR="004B0E92" w:rsidRPr="00085A39" w:rsidRDefault="004B0E92" w:rsidP="00385738">
            <w:pPr>
              <w:rPr>
                <w:sz w:val="20"/>
                <w:szCs w:val="20"/>
              </w:rPr>
            </w:pPr>
          </w:p>
          <w:p w14:paraId="0AD2D17D" w14:textId="77777777" w:rsidR="004B0E92" w:rsidRPr="00085A39" w:rsidRDefault="004B0E92" w:rsidP="00385738">
            <w:pPr>
              <w:rPr>
                <w:sz w:val="20"/>
                <w:szCs w:val="20"/>
              </w:rPr>
            </w:pPr>
            <w:r w:rsidRPr="00085A39">
              <w:rPr>
                <w:sz w:val="20"/>
                <w:szCs w:val="20"/>
              </w:rPr>
              <w:t>Peers could not find evidence that local staff are trained on expectations for secure handling and storage of assessment data.</w:t>
            </w:r>
          </w:p>
          <w:p w14:paraId="54BB5691" w14:textId="77777777" w:rsidR="004B0E92" w:rsidRPr="00085A39" w:rsidRDefault="004B0E92" w:rsidP="00385738">
            <w:pPr>
              <w:rPr>
                <w:sz w:val="20"/>
                <w:szCs w:val="20"/>
              </w:rPr>
            </w:pPr>
          </w:p>
          <w:p w14:paraId="31F4CE52" w14:textId="77777777" w:rsidR="004B0E92" w:rsidRPr="00085A39" w:rsidRDefault="004B0E92" w:rsidP="00385738">
            <w:pPr>
              <w:rPr>
                <w:b/>
                <w:sz w:val="20"/>
                <w:szCs w:val="20"/>
              </w:rPr>
            </w:pPr>
            <w:r w:rsidRPr="00085A39">
              <w:rPr>
                <w:b/>
                <w:sz w:val="20"/>
                <w:szCs w:val="20"/>
              </w:rPr>
              <w:t>PII in reporting</w:t>
            </w:r>
          </w:p>
          <w:p w14:paraId="179BEADF" w14:textId="77777777" w:rsidR="004B0E92" w:rsidRDefault="004B0E92" w:rsidP="00385738">
            <w:pPr>
              <w:rPr>
                <w:sz w:val="20"/>
                <w:szCs w:val="20"/>
              </w:rPr>
            </w:pPr>
            <w:r w:rsidRPr="00085A39">
              <w:rPr>
                <w:sz w:val="20"/>
                <w:szCs w:val="20"/>
              </w:rPr>
              <w:t xml:space="preserve">The state has established minimum cell counts and suppression rules for aggregated reporting. </w:t>
            </w:r>
          </w:p>
          <w:p w14:paraId="538E20A3" w14:textId="77777777" w:rsidR="004B0E92" w:rsidRPr="00085A39" w:rsidRDefault="004B0E92" w:rsidP="00385738">
            <w:pPr>
              <w:rPr>
                <w:sz w:val="20"/>
                <w:szCs w:val="20"/>
              </w:rPr>
            </w:pPr>
          </w:p>
          <w:p w14:paraId="0E86ECD4" w14:textId="77777777" w:rsidR="004B0E92" w:rsidRDefault="004B0E92" w:rsidP="00385738">
            <w:pPr>
              <w:pStyle w:val="ListParagraph"/>
              <w:ind w:left="0"/>
              <w:rPr>
                <w:sz w:val="20"/>
                <w:szCs w:val="20"/>
              </w:rPr>
            </w:pPr>
            <w:r w:rsidRPr="00085A39">
              <w:rPr>
                <w:sz w:val="20"/>
                <w:szCs w:val="20"/>
              </w:rPr>
              <w:t xml:space="preserve">State guidelines describe </w:t>
            </w:r>
            <w:r>
              <w:rPr>
                <w:sz w:val="20"/>
                <w:szCs w:val="20"/>
              </w:rPr>
              <w:t xml:space="preserve">the </w:t>
            </w:r>
            <w:r w:rsidRPr="00085A39">
              <w:rPr>
                <w:sz w:val="20"/>
                <w:szCs w:val="20"/>
              </w:rPr>
              <w:t xml:space="preserve">process for acting on external and LEA requests for data including aggregation or calculations. </w:t>
            </w:r>
          </w:p>
          <w:p w14:paraId="69382BCC" w14:textId="77777777" w:rsidR="004B0E92" w:rsidRDefault="004B0E92" w:rsidP="00385738">
            <w:pPr>
              <w:pStyle w:val="ListParagraph"/>
              <w:ind w:left="0"/>
              <w:rPr>
                <w:sz w:val="20"/>
                <w:szCs w:val="20"/>
              </w:rPr>
            </w:pPr>
          </w:p>
          <w:p w14:paraId="2AF52673" w14:textId="77777777" w:rsidR="004B0E92" w:rsidRPr="0077197F" w:rsidRDefault="004B0E92" w:rsidP="00385738">
            <w:pPr>
              <w:pStyle w:val="ListParagraph"/>
              <w:ind w:left="0"/>
              <w:rPr>
                <w:sz w:val="20"/>
                <w:szCs w:val="20"/>
              </w:rPr>
            </w:pPr>
            <w:r>
              <w:rPr>
                <w:sz w:val="20"/>
                <w:szCs w:val="20"/>
              </w:rPr>
              <w:lastRenderedPageBreak/>
              <w:t xml:space="preserve">Peers recommend that the state provide explicit direction regarding </w:t>
            </w:r>
            <w:r w:rsidRPr="00085A39">
              <w:rPr>
                <w:sz w:val="20"/>
                <w:szCs w:val="20"/>
              </w:rPr>
              <w:t>safeguards against disclosing PII as part of aggregation</w:t>
            </w:r>
            <w:r>
              <w:rPr>
                <w:sz w:val="20"/>
                <w:szCs w:val="20"/>
              </w:rPr>
              <w:t xml:space="preserve"> to</w:t>
            </w:r>
            <w:r w:rsidRPr="00085A39">
              <w:rPr>
                <w:sz w:val="20"/>
                <w:szCs w:val="20"/>
              </w:rPr>
              <w:t xml:space="preserve"> prevent use by the LE</w:t>
            </w:r>
            <w:r>
              <w:rPr>
                <w:sz w:val="20"/>
                <w:szCs w:val="20"/>
              </w:rPr>
              <w:t>A that might lead to disclosure</w:t>
            </w:r>
            <w:r w:rsidRPr="00085A39">
              <w:rPr>
                <w:sz w:val="20"/>
                <w:szCs w:val="20"/>
              </w:rPr>
              <w:t>.</w:t>
            </w:r>
          </w:p>
        </w:tc>
      </w:tr>
      <w:tr w:rsidR="004B0E92" w:rsidRPr="00532BBF" w14:paraId="423444C3" w14:textId="77777777" w:rsidTr="00385738">
        <w:tc>
          <w:tcPr>
            <w:tcW w:w="13410" w:type="dxa"/>
            <w:gridSpan w:val="3"/>
            <w:shd w:val="clear" w:color="auto" w:fill="auto"/>
          </w:tcPr>
          <w:p w14:paraId="7A8E5A89" w14:textId="77777777" w:rsidR="004B0E92" w:rsidRPr="00532BBF" w:rsidRDefault="004B0E92" w:rsidP="00385738">
            <w:pPr>
              <w:pStyle w:val="Heading4"/>
            </w:pPr>
            <w:r>
              <w:lastRenderedPageBreak/>
              <w:t>Section 2.6</w:t>
            </w:r>
            <w:r w:rsidRPr="00532BBF">
              <w:t xml:space="preserve"> Summary Statement</w:t>
            </w:r>
          </w:p>
        </w:tc>
      </w:tr>
      <w:tr w:rsidR="004B0E92" w:rsidRPr="00532BBF" w14:paraId="62ACF66B" w14:textId="77777777" w:rsidTr="00385738">
        <w:tc>
          <w:tcPr>
            <w:tcW w:w="13410" w:type="dxa"/>
            <w:gridSpan w:val="3"/>
            <w:shd w:val="clear" w:color="auto" w:fill="auto"/>
          </w:tcPr>
          <w:p w14:paraId="6A3EC494" w14:textId="77777777" w:rsidR="004B0E92" w:rsidRPr="00532BBF" w:rsidRDefault="004B0E92" w:rsidP="00385738">
            <w:pPr>
              <w:rPr>
                <w:sz w:val="20"/>
                <w:szCs w:val="20"/>
              </w:rPr>
            </w:pPr>
            <w:r w:rsidRPr="00532BBF">
              <w:rPr>
                <w:sz w:val="20"/>
                <w:szCs w:val="20"/>
              </w:rPr>
              <w:t>___ No additional evidence is required or</w:t>
            </w:r>
          </w:p>
          <w:p w14:paraId="05085682" w14:textId="77777777" w:rsidR="004B0E92" w:rsidRPr="00532BBF" w:rsidRDefault="004B0E92" w:rsidP="00385738">
            <w:pPr>
              <w:rPr>
                <w:sz w:val="20"/>
                <w:szCs w:val="20"/>
              </w:rPr>
            </w:pPr>
          </w:p>
          <w:p w14:paraId="2BEB6C8E" w14:textId="77777777" w:rsidR="004B0E92" w:rsidRPr="00532BBF" w:rsidRDefault="004B0E92" w:rsidP="00385738">
            <w:pPr>
              <w:rPr>
                <w:sz w:val="20"/>
                <w:szCs w:val="20"/>
              </w:rPr>
            </w:pPr>
            <w:r>
              <w:rPr>
                <w:sz w:val="20"/>
                <w:szCs w:val="20"/>
              </w:rPr>
              <w:t>_X</w:t>
            </w:r>
            <w:r w:rsidRPr="00532BBF">
              <w:rPr>
                <w:sz w:val="20"/>
                <w:szCs w:val="20"/>
              </w:rPr>
              <w:t>_ The following additional evidence is needed/provide brief rationale:</w:t>
            </w:r>
          </w:p>
          <w:p w14:paraId="01B04753" w14:textId="77777777" w:rsidR="004B0E92" w:rsidRPr="00532BBF" w:rsidRDefault="004B0E92" w:rsidP="008D31CB">
            <w:pPr>
              <w:pStyle w:val="ListParagraph"/>
              <w:numPr>
                <w:ilvl w:val="0"/>
                <w:numId w:val="29"/>
              </w:numPr>
              <w:ind w:left="157" w:hanging="180"/>
              <w:rPr>
                <w:sz w:val="20"/>
                <w:szCs w:val="20"/>
              </w:rPr>
            </w:pPr>
            <w:r w:rsidRPr="00341540">
              <w:rPr>
                <w:sz w:val="20"/>
                <w:szCs w:val="20"/>
              </w:rPr>
              <w:t xml:space="preserve">Evidence that local staff are trained on expectations for secure handling </w:t>
            </w:r>
            <w:r>
              <w:rPr>
                <w:sz w:val="20"/>
                <w:szCs w:val="20"/>
              </w:rPr>
              <w:t>and storage of assessment data</w:t>
            </w:r>
          </w:p>
        </w:tc>
      </w:tr>
    </w:tbl>
    <w:p w14:paraId="20765AB7" w14:textId="77777777" w:rsidR="004B0E92" w:rsidRDefault="004B0E92" w:rsidP="004B0E92"/>
    <w:p w14:paraId="7782E1EA" w14:textId="77777777" w:rsidR="004B0E92" w:rsidRPr="008A4204" w:rsidRDefault="004B0E92" w:rsidP="004B0E92">
      <w:pPr>
        <w:pStyle w:val="Heading1"/>
      </w:pPr>
      <w:r>
        <w:br w:type="page"/>
      </w:r>
      <w:bookmarkStart w:id="18" w:name="_Toc3354966"/>
      <w:r w:rsidRPr="008A4204">
        <w:lastRenderedPageBreak/>
        <w:t>SECTION 3: TECHNICAL</w:t>
      </w:r>
      <w:bookmarkStart w:id="19" w:name="section3"/>
      <w:bookmarkEnd w:id="19"/>
      <w:r w:rsidRPr="008A4204">
        <w:t xml:space="preserve"> QUALITY – VALIDITY</w:t>
      </w:r>
      <w:bookmarkEnd w:id="18"/>
    </w:p>
    <w:p w14:paraId="7321BA20" w14:textId="77777777" w:rsidR="004B0E92" w:rsidRDefault="004B0E92" w:rsidP="004B0E92"/>
    <w:p w14:paraId="6FEE6205" w14:textId="77777777" w:rsidR="004B0E92" w:rsidRDefault="004B0E92" w:rsidP="004B0E92">
      <w:pPr>
        <w:pStyle w:val="Heading2"/>
      </w:pPr>
      <w:bookmarkStart w:id="20" w:name="_Toc3354967"/>
      <w:r w:rsidRPr="00F47BF4">
        <w:t>Critical Element 3.1 – Overall Validity</w:t>
      </w:r>
      <w:r>
        <w:t xml:space="preserve">, Including </w:t>
      </w:r>
      <w:r w:rsidRPr="00F47BF4">
        <w:t>Validity Based on Content</w:t>
      </w:r>
      <w:bookmarkEnd w:id="2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52F10BAF"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27335886"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7D7C626"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BD985DC"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119286C9" w14:textId="77777777" w:rsidTr="00385738">
        <w:tc>
          <w:tcPr>
            <w:tcW w:w="3618" w:type="dxa"/>
            <w:shd w:val="clear" w:color="auto" w:fill="auto"/>
          </w:tcPr>
          <w:p w14:paraId="045A0C59" w14:textId="77777777" w:rsidR="004B0E92" w:rsidRPr="002313D0" w:rsidRDefault="004B0E92" w:rsidP="00385738">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0D9868A9" w14:textId="77777777" w:rsidR="004B0E92" w:rsidRPr="002313D0" w:rsidRDefault="004B0E92" w:rsidP="00385738">
            <w:pPr>
              <w:pStyle w:val="ListParagraph"/>
              <w:ind w:left="360"/>
              <w:rPr>
                <w:sz w:val="20"/>
                <w:szCs w:val="20"/>
              </w:rPr>
            </w:pPr>
          </w:p>
          <w:p w14:paraId="2AF3C2F5" w14:textId="77777777" w:rsidR="004B0E92" w:rsidRPr="002313D0" w:rsidRDefault="004B0E92" w:rsidP="00385738">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648B073F" w14:textId="77777777" w:rsidR="004B0E92" w:rsidRPr="00D746C9" w:rsidRDefault="004B0E92" w:rsidP="008D31CB">
            <w:pPr>
              <w:numPr>
                <w:ilvl w:val="0"/>
                <w:numId w:val="11"/>
              </w:numPr>
              <w:rPr>
                <w:sz w:val="20"/>
                <w:szCs w:val="20"/>
              </w:rPr>
            </w:pPr>
            <w:r w:rsidRPr="00D746C9">
              <w:rPr>
                <w:sz w:val="20"/>
                <w:szCs w:val="20"/>
              </w:rPr>
              <w:t>Documentation of adequate alignment between the State’s ELP assessment and the ELP standards the assessment is designed to measure in terms of language knowledge and skills</w:t>
            </w:r>
            <w:r w:rsidRPr="00D746C9">
              <w:rPr>
                <w:color w:val="FF0000"/>
                <w:sz w:val="20"/>
                <w:szCs w:val="20"/>
              </w:rPr>
              <w:t>,</w:t>
            </w:r>
            <w:r w:rsidRPr="00D746C9">
              <w:rPr>
                <w:sz w:val="20"/>
                <w:szCs w:val="20"/>
              </w:rPr>
              <w:t xml:space="preserve"> the depth and breadth of the State’s ELP standards, across all proficiency levels, domains, and modalities identified therein;  </w:t>
            </w:r>
          </w:p>
          <w:p w14:paraId="44A1D859" w14:textId="77777777" w:rsidR="004B0E92" w:rsidRPr="00D746C9" w:rsidRDefault="004B0E92" w:rsidP="008D31CB">
            <w:pPr>
              <w:numPr>
                <w:ilvl w:val="0"/>
                <w:numId w:val="11"/>
              </w:numPr>
              <w:rPr>
                <w:sz w:val="20"/>
                <w:szCs w:val="20"/>
              </w:rPr>
            </w:pPr>
            <w:r w:rsidRPr="00D746C9">
              <w:rPr>
                <w:sz w:val="20"/>
                <w:szCs w:val="20"/>
              </w:rPr>
              <w:t>Documentation of alignment (as defined) between the State’s ELP standards and the language demands implied by, or explicitly stated in, the State’s academic content standards;</w:t>
            </w:r>
          </w:p>
          <w:p w14:paraId="0FF5ADB8" w14:textId="77777777" w:rsidR="004B0E92" w:rsidRPr="002313D0" w:rsidRDefault="004B0E92" w:rsidP="008D31CB">
            <w:pPr>
              <w:numPr>
                <w:ilvl w:val="0"/>
                <w:numId w:val="11"/>
              </w:numPr>
              <w:rPr>
                <w:sz w:val="20"/>
                <w:szCs w:val="20"/>
              </w:rPr>
            </w:pPr>
            <w:r w:rsidRPr="00D746C9">
              <w:rPr>
                <w:sz w:val="20"/>
                <w:szCs w:val="20"/>
              </w:rPr>
              <w:t>If the State administers an AELPA aligned with alternate ELP achievement standards, the assessment shows adequate linkage to the State’s ELP standards in terms of content match (i.e., no unrelated content) and that the breadth of content and linguistic complexity</w:t>
            </w:r>
            <w:r w:rsidRPr="002313D0">
              <w:rPr>
                <w:sz w:val="20"/>
                <w:szCs w:val="20"/>
              </w:rPr>
              <w:t xml:space="preserve"> </w:t>
            </w:r>
            <w:r w:rsidRPr="002313D0">
              <w:rPr>
                <w:sz w:val="20"/>
                <w:szCs w:val="20"/>
              </w:rPr>
              <w:lastRenderedPageBreak/>
              <w:t>determined in test design is appropriate for ELs who are students with the most significant cognitive disabilities.</w:t>
            </w:r>
          </w:p>
          <w:p w14:paraId="5F162816" w14:textId="77777777" w:rsidR="004B0E92" w:rsidRPr="0077197F" w:rsidRDefault="004B0E92" w:rsidP="00385738">
            <w:pPr>
              <w:rPr>
                <w:sz w:val="20"/>
                <w:szCs w:val="20"/>
              </w:rPr>
            </w:pPr>
          </w:p>
        </w:tc>
        <w:tc>
          <w:tcPr>
            <w:tcW w:w="4779" w:type="dxa"/>
            <w:shd w:val="clear" w:color="auto" w:fill="auto"/>
          </w:tcPr>
          <w:p w14:paraId="700CAF54" w14:textId="77777777" w:rsidR="004B0E92" w:rsidRDefault="004B0E92" w:rsidP="00385738">
            <w:pPr>
              <w:autoSpaceDE w:val="0"/>
              <w:autoSpaceDN w:val="0"/>
              <w:adjustRightInd w:val="0"/>
              <w:rPr>
                <w:sz w:val="20"/>
                <w:szCs w:val="20"/>
              </w:rPr>
            </w:pPr>
            <w:r>
              <w:rPr>
                <w:sz w:val="20"/>
                <w:szCs w:val="20"/>
              </w:rPr>
              <w:lastRenderedPageBreak/>
              <w:t>LAS Links Alignment to WIDA Standard report</w:t>
            </w:r>
          </w:p>
          <w:p w14:paraId="31AF1377" w14:textId="77777777" w:rsidR="004B0E92" w:rsidRDefault="004B0E92" w:rsidP="00385738">
            <w:pPr>
              <w:autoSpaceDE w:val="0"/>
              <w:autoSpaceDN w:val="0"/>
              <w:adjustRightInd w:val="0"/>
              <w:rPr>
                <w:sz w:val="20"/>
                <w:szCs w:val="20"/>
              </w:rPr>
            </w:pPr>
            <w:r>
              <w:rPr>
                <w:sz w:val="20"/>
                <w:szCs w:val="20"/>
              </w:rPr>
              <w:t>(Spring 2018), pg. 9</w:t>
            </w:r>
          </w:p>
          <w:p w14:paraId="248A9014" w14:textId="77777777" w:rsidR="004B0E92" w:rsidRDefault="004B0E92" w:rsidP="00385738">
            <w:pPr>
              <w:autoSpaceDE w:val="0"/>
              <w:autoSpaceDN w:val="0"/>
              <w:adjustRightInd w:val="0"/>
              <w:rPr>
                <w:sz w:val="20"/>
                <w:szCs w:val="20"/>
              </w:rPr>
            </w:pPr>
          </w:p>
          <w:p w14:paraId="72C60C8E" w14:textId="77777777" w:rsidR="004B0E92" w:rsidRDefault="004B0E92" w:rsidP="00385738">
            <w:pPr>
              <w:autoSpaceDE w:val="0"/>
              <w:autoSpaceDN w:val="0"/>
              <w:adjustRightInd w:val="0"/>
              <w:rPr>
                <w:sz w:val="20"/>
                <w:szCs w:val="20"/>
              </w:rPr>
            </w:pPr>
            <w:r>
              <w:rPr>
                <w:sz w:val="20"/>
                <w:szCs w:val="20"/>
              </w:rPr>
              <w:t>TESOL ELD Standards Alignment to LAS Links</w:t>
            </w:r>
          </w:p>
          <w:p w14:paraId="32DC93C1" w14:textId="77777777" w:rsidR="004B0E92" w:rsidRDefault="004B0E92" w:rsidP="00385738">
            <w:pPr>
              <w:autoSpaceDE w:val="0"/>
              <w:autoSpaceDN w:val="0"/>
              <w:adjustRightInd w:val="0"/>
              <w:rPr>
                <w:sz w:val="20"/>
                <w:szCs w:val="20"/>
              </w:rPr>
            </w:pPr>
            <w:r>
              <w:rPr>
                <w:sz w:val="20"/>
                <w:szCs w:val="20"/>
              </w:rPr>
              <w:t>Assessment (for Forms C and D)</w:t>
            </w:r>
          </w:p>
          <w:p w14:paraId="531D29CE" w14:textId="77777777" w:rsidR="004B0E92" w:rsidRDefault="004B0E92" w:rsidP="00385738">
            <w:pPr>
              <w:autoSpaceDE w:val="0"/>
              <w:autoSpaceDN w:val="0"/>
              <w:adjustRightInd w:val="0"/>
              <w:rPr>
                <w:sz w:val="20"/>
                <w:szCs w:val="20"/>
              </w:rPr>
            </w:pPr>
          </w:p>
          <w:p w14:paraId="20D9A3BF" w14:textId="77777777" w:rsidR="004B0E92" w:rsidRDefault="004B0E92" w:rsidP="00385738">
            <w:pPr>
              <w:autoSpaceDE w:val="0"/>
              <w:autoSpaceDN w:val="0"/>
              <w:adjustRightInd w:val="0"/>
              <w:rPr>
                <w:sz w:val="20"/>
                <w:szCs w:val="20"/>
              </w:rPr>
            </w:pPr>
            <w:r>
              <w:rPr>
                <w:sz w:val="20"/>
                <w:szCs w:val="20"/>
              </w:rPr>
              <w:t>DRC LAS Links® Second Edition, Forms C and</w:t>
            </w:r>
          </w:p>
          <w:p w14:paraId="586B9D0B" w14:textId="77777777" w:rsidR="004B0E92" w:rsidRDefault="004B0E92" w:rsidP="00385738">
            <w:pPr>
              <w:autoSpaceDE w:val="0"/>
              <w:autoSpaceDN w:val="0"/>
              <w:adjustRightInd w:val="0"/>
              <w:rPr>
                <w:sz w:val="20"/>
                <w:szCs w:val="20"/>
              </w:rPr>
            </w:pPr>
            <w:r>
              <w:rPr>
                <w:sz w:val="20"/>
                <w:szCs w:val="20"/>
              </w:rPr>
              <w:t>D Technical Manual, 2018, pgs. 22-24, 32-33, 44,</w:t>
            </w:r>
          </w:p>
          <w:p w14:paraId="337493DA" w14:textId="77777777" w:rsidR="004B0E92" w:rsidRPr="0077197F" w:rsidRDefault="004B0E92" w:rsidP="00385738">
            <w:pPr>
              <w:autoSpaceDE w:val="0"/>
              <w:autoSpaceDN w:val="0"/>
              <w:adjustRightInd w:val="0"/>
              <w:rPr>
                <w:sz w:val="20"/>
                <w:szCs w:val="20"/>
              </w:rPr>
            </w:pPr>
            <w:r>
              <w:rPr>
                <w:sz w:val="20"/>
                <w:szCs w:val="20"/>
              </w:rPr>
              <w:t>61-98, 196-203</w:t>
            </w:r>
          </w:p>
        </w:tc>
        <w:tc>
          <w:tcPr>
            <w:tcW w:w="5013" w:type="dxa"/>
            <w:shd w:val="clear" w:color="auto" w:fill="auto"/>
          </w:tcPr>
          <w:p w14:paraId="1A58D868" w14:textId="77777777" w:rsidR="004B0E92" w:rsidRPr="008911BD" w:rsidRDefault="004B0E92" w:rsidP="00385738">
            <w:pPr>
              <w:autoSpaceDE w:val="0"/>
              <w:autoSpaceDN w:val="0"/>
              <w:adjustRightInd w:val="0"/>
              <w:rPr>
                <w:sz w:val="20"/>
                <w:szCs w:val="20"/>
                <w:lang w:eastAsia="zh-CN"/>
              </w:rPr>
            </w:pPr>
            <w:r w:rsidRPr="008911BD">
              <w:rPr>
                <w:sz w:val="20"/>
                <w:szCs w:val="20"/>
                <w:lang w:eastAsia="zh-CN"/>
              </w:rPr>
              <w:t xml:space="preserve">The state uses the TESOL (2009) standards, which are an “augmentation” of the 2004 WIDA standards. The state’s content-related evidence response mentioned alignment of LAS Links to two sets of standards not used by </w:t>
            </w:r>
            <w:r>
              <w:rPr>
                <w:sz w:val="20"/>
                <w:szCs w:val="20"/>
                <w:lang w:eastAsia="zh-CN"/>
              </w:rPr>
              <w:t>the state: 2007 WIDA standards and the E</w:t>
            </w:r>
            <w:r w:rsidRPr="008911BD">
              <w:rPr>
                <w:sz w:val="20"/>
                <w:szCs w:val="20"/>
                <w:lang w:eastAsia="zh-CN"/>
              </w:rPr>
              <w:t>LPA 21 standards.</w:t>
            </w:r>
          </w:p>
          <w:p w14:paraId="5D72C8D3" w14:textId="77777777" w:rsidR="004B0E92" w:rsidRPr="008911BD" w:rsidRDefault="004B0E92" w:rsidP="00385738">
            <w:pPr>
              <w:autoSpaceDE w:val="0"/>
              <w:autoSpaceDN w:val="0"/>
              <w:adjustRightInd w:val="0"/>
              <w:rPr>
                <w:sz w:val="20"/>
                <w:szCs w:val="20"/>
                <w:lang w:eastAsia="zh-CN"/>
              </w:rPr>
            </w:pPr>
          </w:p>
          <w:p w14:paraId="178F2597" w14:textId="77777777" w:rsidR="004B0E92" w:rsidRDefault="004B0E92" w:rsidP="00385738">
            <w:pPr>
              <w:autoSpaceDE w:val="0"/>
              <w:autoSpaceDN w:val="0"/>
              <w:adjustRightInd w:val="0"/>
              <w:rPr>
                <w:sz w:val="20"/>
                <w:szCs w:val="20"/>
                <w:lang w:eastAsia="zh-CN"/>
              </w:rPr>
            </w:pPr>
            <w:r w:rsidRPr="008911BD">
              <w:rPr>
                <w:sz w:val="20"/>
                <w:szCs w:val="20"/>
                <w:lang w:eastAsia="zh-CN"/>
              </w:rPr>
              <w:t xml:space="preserve">LAS Links assessments are built on the LAS Links 2012 Standards Framework. Sample correspondences between the 2012 Standards Framework and CCSS and TESOL are </w:t>
            </w:r>
            <w:r>
              <w:rPr>
                <w:sz w:val="20"/>
                <w:szCs w:val="20"/>
                <w:lang w:eastAsia="zh-CN"/>
              </w:rPr>
              <w:t xml:space="preserve">provided. </w:t>
            </w:r>
          </w:p>
          <w:p w14:paraId="69A1CAA6" w14:textId="77777777" w:rsidR="004B0E92" w:rsidRPr="008911BD" w:rsidRDefault="004B0E92" w:rsidP="00385738">
            <w:pPr>
              <w:autoSpaceDE w:val="0"/>
              <w:autoSpaceDN w:val="0"/>
              <w:adjustRightInd w:val="0"/>
              <w:rPr>
                <w:sz w:val="20"/>
                <w:szCs w:val="20"/>
                <w:lang w:eastAsia="zh-CN"/>
              </w:rPr>
            </w:pPr>
          </w:p>
          <w:p w14:paraId="7EE8365D" w14:textId="77777777" w:rsidR="004B0E92" w:rsidRDefault="004B0E92" w:rsidP="00385738">
            <w:pPr>
              <w:autoSpaceDE w:val="0"/>
              <w:autoSpaceDN w:val="0"/>
              <w:adjustRightInd w:val="0"/>
              <w:rPr>
                <w:sz w:val="20"/>
                <w:szCs w:val="20"/>
                <w:lang w:eastAsia="zh-CN"/>
              </w:rPr>
            </w:pPr>
            <w:r w:rsidRPr="008911BD">
              <w:rPr>
                <w:sz w:val="20"/>
                <w:szCs w:val="20"/>
                <w:lang w:eastAsia="zh-CN"/>
              </w:rPr>
              <w:t xml:space="preserve">Test blueprints show coverage of the LAS Links framework. </w:t>
            </w:r>
          </w:p>
          <w:p w14:paraId="2D7A9BDA" w14:textId="77777777" w:rsidR="004B0E92" w:rsidRPr="008911BD" w:rsidRDefault="004B0E92" w:rsidP="00385738">
            <w:pPr>
              <w:autoSpaceDE w:val="0"/>
              <w:autoSpaceDN w:val="0"/>
              <w:adjustRightInd w:val="0"/>
              <w:rPr>
                <w:sz w:val="20"/>
                <w:szCs w:val="20"/>
                <w:lang w:eastAsia="zh-CN"/>
              </w:rPr>
            </w:pPr>
          </w:p>
          <w:p w14:paraId="53B9BCA8" w14:textId="77777777" w:rsidR="004B0E92" w:rsidRDefault="004B0E92" w:rsidP="00385738">
            <w:pPr>
              <w:autoSpaceDE w:val="0"/>
              <w:autoSpaceDN w:val="0"/>
              <w:adjustRightInd w:val="0"/>
              <w:rPr>
                <w:sz w:val="20"/>
                <w:szCs w:val="20"/>
              </w:rPr>
            </w:pPr>
            <w:r>
              <w:rPr>
                <w:sz w:val="20"/>
                <w:szCs w:val="20"/>
              </w:rPr>
              <w:t>The document TESOL ELD Standards A</w:t>
            </w:r>
            <w:r w:rsidRPr="008911BD">
              <w:rPr>
                <w:sz w:val="20"/>
                <w:szCs w:val="20"/>
              </w:rPr>
              <w:t xml:space="preserve">lignment </w:t>
            </w:r>
            <w:r>
              <w:rPr>
                <w:sz w:val="20"/>
                <w:szCs w:val="20"/>
              </w:rPr>
              <w:t xml:space="preserve">to </w:t>
            </w:r>
            <w:r w:rsidRPr="008911BD">
              <w:rPr>
                <w:sz w:val="20"/>
                <w:szCs w:val="20"/>
              </w:rPr>
              <w:t>LAS Links</w:t>
            </w:r>
            <w:r>
              <w:rPr>
                <w:sz w:val="20"/>
                <w:szCs w:val="20"/>
              </w:rPr>
              <w:t xml:space="preserve"> Assessment </w:t>
            </w:r>
            <w:r w:rsidRPr="008911BD">
              <w:rPr>
                <w:sz w:val="20"/>
                <w:szCs w:val="20"/>
              </w:rPr>
              <w:t xml:space="preserve">implies complete correspondence between “sample” TESOL performance indicators (PIs) and LAS Links subskills. Coverage is varied across the TESOL PIs. It is unclear whether LAS Links covers the depth and breadth of the TESOL standards across proficiency levels and domains. The alignment evidence is at a conceptual level. </w:t>
            </w:r>
          </w:p>
          <w:p w14:paraId="1787574B" w14:textId="77777777" w:rsidR="004B0E92" w:rsidRDefault="004B0E92" w:rsidP="00385738">
            <w:pPr>
              <w:autoSpaceDE w:val="0"/>
              <w:autoSpaceDN w:val="0"/>
              <w:adjustRightInd w:val="0"/>
              <w:rPr>
                <w:sz w:val="20"/>
                <w:szCs w:val="20"/>
              </w:rPr>
            </w:pPr>
          </w:p>
          <w:p w14:paraId="3E2C9F0E" w14:textId="77777777" w:rsidR="004B0E92" w:rsidRPr="008911BD" w:rsidRDefault="004B0E92" w:rsidP="00385738">
            <w:pPr>
              <w:autoSpaceDE w:val="0"/>
              <w:autoSpaceDN w:val="0"/>
              <w:adjustRightInd w:val="0"/>
              <w:rPr>
                <w:sz w:val="20"/>
                <w:szCs w:val="20"/>
              </w:rPr>
            </w:pPr>
            <w:r w:rsidRPr="008911BD">
              <w:rPr>
                <w:sz w:val="20"/>
                <w:szCs w:val="20"/>
              </w:rPr>
              <w:t>It is also unclear how the state addresses correspondence between grade bands in the TESOL</w:t>
            </w:r>
            <w:r>
              <w:rPr>
                <w:sz w:val="20"/>
                <w:szCs w:val="20"/>
              </w:rPr>
              <w:t xml:space="preserve"> standards and the grade bands in</w:t>
            </w:r>
            <w:r w:rsidRPr="008911BD">
              <w:rPr>
                <w:sz w:val="20"/>
                <w:szCs w:val="20"/>
              </w:rPr>
              <w:t xml:space="preserve"> LAS Links, which do not correspond </w:t>
            </w:r>
            <w:r>
              <w:rPr>
                <w:sz w:val="20"/>
                <w:szCs w:val="20"/>
              </w:rPr>
              <w:t xml:space="preserve">to each other </w:t>
            </w:r>
            <w:r w:rsidRPr="008911BD">
              <w:rPr>
                <w:sz w:val="20"/>
                <w:szCs w:val="20"/>
              </w:rPr>
              <w:t>in K-3.</w:t>
            </w:r>
          </w:p>
          <w:p w14:paraId="50DEA883" w14:textId="77777777" w:rsidR="004B0E92" w:rsidRPr="008911BD" w:rsidRDefault="004B0E92" w:rsidP="00385738">
            <w:pPr>
              <w:autoSpaceDE w:val="0"/>
              <w:autoSpaceDN w:val="0"/>
              <w:adjustRightInd w:val="0"/>
              <w:rPr>
                <w:sz w:val="20"/>
                <w:szCs w:val="20"/>
              </w:rPr>
            </w:pPr>
          </w:p>
          <w:p w14:paraId="08F38DEC" w14:textId="77777777" w:rsidR="004B0E92" w:rsidRPr="008911BD" w:rsidRDefault="004B0E92" w:rsidP="00385738">
            <w:pPr>
              <w:autoSpaceDE w:val="0"/>
              <w:autoSpaceDN w:val="0"/>
              <w:adjustRightInd w:val="0"/>
              <w:rPr>
                <w:sz w:val="20"/>
                <w:szCs w:val="20"/>
              </w:rPr>
            </w:pPr>
            <w:r w:rsidRPr="008911BD">
              <w:rPr>
                <w:sz w:val="20"/>
                <w:szCs w:val="20"/>
              </w:rPr>
              <w:t>Although not listed for CE</w:t>
            </w:r>
            <w:r>
              <w:rPr>
                <w:sz w:val="20"/>
                <w:szCs w:val="20"/>
              </w:rPr>
              <w:t xml:space="preserve"> </w:t>
            </w:r>
            <w:r w:rsidRPr="008911BD">
              <w:rPr>
                <w:sz w:val="20"/>
                <w:szCs w:val="20"/>
              </w:rPr>
              <w:t>3.1 the state also provided evidence of an alignment study between MS CCRS ELA standards and WIDA’s 2012 standards</w:t>
            </w:r>
            <w:r>
              <w:rPr>
                <w:sz w:val="20"/>
                <w:szCs w:val="20"/>
              </w:rPr>
              <w:t>,</w:t>
            </w:r>
            <w:r w:rsidRPr="008911BD">
              <w:rPr>
                <w:sz w:val="20"/>
                <w:szCs w:val="20"/>
              </w:rPr>
              <w:t xml:space="preserve"> with a few gaps</w:t>
            </w:r>
            <w:r>
              <w:rPr>
                <w:sz w:val="20"/>
                <w:szCs w:val="20"/>
              </w:rPr>
              <w:t xml:space="preserve"> noted</w:t>
            </w:r>
            <w:r w:rsidRPr="008911BD">
              <w:rPr>
                <w:sz w:val="20"/>
                <w:szCs w:val="20"/>
              </w:rPr>
              <w:t xml:space="preserve"> for </w:t>
            </w:r>
            <w:r>
              <w:rPr>
                <w:sz w:val="20"/>
                <w:szCs w:val="20"/>
              </w:rPr>
              <w:t xml:space="preserve">reading </w:t>
            </w:r>
            <w:r w:rsidRPr="008911BD">
              <w:rPr>
                <w:sz w:val="20"/>
                <w:szCs w:val="20"/>
              </w:rPr>
              <w:t xml:space="preserve">foundational </w:t>
            </w:r>
            <w:r>
              <w:rPr>
                <w:sz w:val="20"/>
                <w:szCs w:val="20"/>
              </w:rPr>
              <w:t xml:space="preserve">skills </w:t>
            </w:r>
            <w:r w:rsidRPr="008911BD">
              <w:rPr>
                <w:sz w:val="20"/>
                <w:szCs w:val="20"/>
              </w:rPr>
              <w:t xml:space="preserve">and </w:t>
            </w:r>
            <w:r>
              <w:rPr>
                <w:sz w:val="20"/>
                <w:szCs w:val="20"/>
              </w:rPr>
              <w:t xml:space="preserve">range of </w:t>
            </w:r>
            <w:r w:rsidRPr="008911BD">
              <w:rPr>
                <w:sz w:val="20"/>
                <w:szCs w:val="20"/>
              </w:rPr>
              <w:t xml:space="preserve">writing. Again, these are not the state’s ELP standards. There is no </w:t>
            </w:r>
            <w:r w:rsidRPr="008911BD">
              <w:rPr>
                <w:sz w:val="20"/>
                <w:szCs w:val="20"/>
              </w:rPr>
              <w:lastRenderedPageBreak/>
              <w:t>evidence that the TESOL standards align with the language demands in the MS CCRS.</w:t>
            </w:r>
          </w:p>
          <w:p w14:paraId="02985288" w14:textId="77777777" w:rsidR="004B0E92" w:rsidRDefault="004B0E92" w:rsidP="00385738">
            <w:pPr>
              <w:autoSpaceDE w:val="0"/>
              <w:autoSpaceDN w:val="0"/>
              <w:adjustRightInd w:val="0"/>
              <w:rPr>
                <w:sz w:val="20"/>
                <w:szCs w:val="20"/>
              </w:rPr>
            </w:pPr>
          </w:p>
          <w:p w14:paraId="28A2DCF0" w14:textId="77777777" w:rsidR="004B0E92" w:rsidRPr="007901F7" w:rsidRDefault="004B0E92" w:rsidP="00385738">
            <w:pPr>
              <w:autoSpaceDE w:val="0"/>
              <w:autoSpaceDN w:val="0"/>
              <w:adjustRightInd w:val="0"/>
              <w:rPr>
                <w:sz w:val="20"/>
                <w:szCs w:val="20"/>
              </w:rPr>
            </w:pPr>
            <w:r>
              <w:rPr>
                <w:sz w:val="20"/>
                <w:szCs w:val="20"/>
              </w:rPr>
              <w:t xml:space="preserve">In summary, </w:t>
            </w:r>
            <w:r w:rsidRPr="007901F7">
              <w:rPr>
                <w:sz w:val="20"/>
                <w:szCs w:val="20"/>
              </w:rPr>
              <w:t>the various linkages amo</w:t>
            </w:r>
            <w:r>
              <w:rPr>
                <w:sz w:val="20"/>
                <w:szCs w:val="20"/>
              </w:rPr>
              <w:t>ng standards and assessments do</w:t>
            </w:r>
            <w:r w:rsidRPr="007901F7">
              <w:rPr>
                <w:sz w:val="20"/>
                <w:szCs w:val="20"/>
              </w:rPr>
              <w:t xml:space="preserve"> not lay a clear foundation of which standards are intended to be assessed, nor which alignment is intended to provide the best evidence. </w:t>
            </w:r>
          </w:p>
          <w:p w14:paraId="0B029924" w14:textId="77777777" w:rsidR="004B0E92" w:rsidRPr="007901F7" w:rsidRDefault="004B0E92" w:rsidP="00385738">
            <w:pPr>
              <w:autoSpaceDE w:val="0"/>
              <w:autoSpaceDN w:val="0"/>
              <w:adjustRightInd w:val="0"/>
              <w:ind w:firstLine="720"/>
              <w:rPr>
                <w:sz w:val="20"/>
                <w:szCs w:val="20"/>
              </w:rPr>
            </w:pPr>
          </w:p>
          <w:p w14:paraId="7DB9BC29" w14:textId="77777777" w:rsidR="004B0E92" w:rsidRDefault="004B0E92" w:rsidP="00385738">
            <w:pPr>
              <w:autoSpaceDE w:val="0"/>
              <w:autoSpaceDN w:val="0"/>
              <w:adjustRightInd w:val="0"/>
              <w:rPr>
                <w:sz w:val="20"/>
                <w:szCs w:val="20"/>
              </w:rPr>
            </w:pPr>
            <w:r w:rsidRPr="007901F7">
              <w:rPr>
                <w:sz w:val="20"/>
                <w:szCs w:val="20"/>
              </w:rPr>
              <w:t>References are made to WIDA, TESOL, and ELPA 21 standards, and the TESOL-to-LAS Links alignment document is simply a matched table of skills and performance indicators.</w:t>
            </w:r>
          </w:p>
          <w:p w14:paraId="5974790A" w14:textId="77777777" w:rsidR="004B0E92" w:rsidRDefault="004B0E92" w:rsidP="00385738">
            <w:pPr>
              <w:autoSpaceDE w:val="0"/>
              <w:autoSpaceDN w:val="0"/>
              <w:adjustRightInd w:val="0"/>
              <w:rPr>
                <w:sz w:val="20"/>
                <w:szCs w:val="20"/>
              </w:rPr>
            </w:pPr>
          </w:p>
          <w:p w14:paraId="6454501E" w14:textId="77777777" w:rsidR="004B0E92" w:rsidRPr="0077197F" w:rsidRDefault="004B0E92" w:rsidP="00385738">
            <w:pPr>
              <w:autoSpaceDE w:val="0"/>
              <w:autoSpaceDN w:val="0"/>
              <w:adjustRightInd w:val="0"/>
              <w:rPr>
                <w:sz w:val="20"/>
                <w:szCs w:val="20"/>
              </w:rPr>
            </w:pPr>
            <w:r>
              <w:rPr>
                <w:sz w:val="20"/>
                <w:szCs w:val="20"/>
              </w:rPr>
              <w:t>Without a clear indication of intended linkages, it is not possible to determine if this CE has been met.</w:t>
            </w:r>
          </w:p>
        </w:tc>
      </w:tr>
      <w:tr w:rsidR="004B0E92" w:rsidRPr="00532BBF" w14:paraId="4B6B306D" w14:textId="77777777" w:rsidTr="00385738">
        <w:tc>
          <w:tcPr>
            <w:tcW w:w="13410" w:type="dxa"/>
            <w:gridSpan w:val="3"/>
            <w:shd w:val="clear" w:color="auto" w:fill="auto"/>
          </w:tcPr>
          <w:p w14:paraId="3D499879" w14:textId="77777777" w:rsidR="004B0E92" w:rsidRPr="00532BBF" w:rsidRDefault="004B0E92" w:rsidP="00385738">
            <w:pPr>
              <w:pStyle w:val="Heading4"/>
            </w:pPr>
            <w:r>
              <w:lastRenderedPageBreak/>
              <w:t>Section 3.1</w:t>
            </w:r>
            <w:r w:rsidRPr="00532BBF">
              <w:t xml:space="preserve"> Summary Statement</w:t>
            </w:r>
          </w:p>
        </w:tc>
      </w:tr>
      <w:tr w:rsidR="004B0E92" w:rsidRPr="00532BBF" w14:paraId="67FD7A1B" w14:textId="77777777" w:rsidTr="00385738">
        <w:tc>
          <w:tcPr>
            <w:tcW w:w="13410" w:type="dxa"/>
            <w:gridSpan w:val="3"/>
            <w:shd w:val="clear" w:color="auto" w:fill="auto"/>
          </w:tcPr>
          <w:p w14:paraId="6A2D9099" w14:textId="77777777" w:rsidR="004B0E92" w:rsidRPr="00532BBF" w:rsidRDefault="004B0E92" w:rsidP="00385738">
            <w:pPr>
              <w:rPr>
                <w:sz w:val="20"/>
                <w:szCs w:val="20"/>
              </w:rPr>
            </w:pPr>
            <w:r w:rsidRPr="00532BBF">
              <w:rPr>
                <w:sz w:val="20"/>
                <w:szCs w:val="20"/>
              </w:rPr>
              <w:t>___ No additional evidence is required or</w:t>
            </w:r>
          </w:p>
          <w:p w14:paraId="711136F7" w14:textId="77777777" w:rsidR="004B0E92" w:rsidRPr="00532BBF" w:rsidRDefault="004B0E92" w:rsidP="00385738">
            <w:pPr>
              <w:rPr>
                <w:sz w:val="20"/>
                <w:szCs w:val="20"/>
              </w:rPr>
            </w:pPr>
          </w:p>
          <w:p w14:paraId="3C768576" w14:textId="77777777" w:rsidR="004B0E92" w:rsidRPr="00532BBF" w:rsidRDefault="004B0E9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29EAD0B7" w14:textId="77777777" w:rsidR="004B0E92" w:rsidRPr="00D746C9" w:rsidRDefault="004B0E92" w:rsidP="008D31CB">
            <w:pPr>
              <w:numPr>
                <w:ilvl w:val="0"/>
                <w:numId w:val="11"/>
              </w:numPr>
              <w:rPr>
                <w:sz w:val="20"/>
                <w:szCs w:val="20"/>
              </w:rPr>
            </w:pPr>
            <w:r>
              <w:rPr>
                <w:sz w:val="20"/>
                <w:szCs w:val="20"/>
              </w:rPr>
              <w:t xml:space="preserve">Evidence </w:t>
            </w:r>
            <w:r w:rsidRPr="00D746C9">
              <w:rPr>
                <w:sz w:val="20"/>
                <w:szCs w:val="20"/>
              </w:rPr>
              <w:t xml:space="preserve">of adequate alignment between the State’s ELP assessment and the </w:t>
            </w:r>
            <w:r>
              <w:rPr>
                <w:sz w:val="20"/>
                <w:szCs w:val="20"/>
              </w:rPr>
              <w:t xml:space="preserve">state’s ELP standards </w:t>
            </w:r>
            <w:r w:rsidRPr="00D746C9">
              <w:rPr>
                <w:sz w:val="20"/>
                <w:szCs w:val="20"/>
              </w:rPr>
              <w:t>in terms of language knowledge and skills</w:t>
            </w:r>
            <w:r>
              <w:rPr>
                <w:sz w:val="20"/>
                <w:szCs w:val="20"/>
              </w:rPr>
              <w:t>,</w:t>
            </w:r>
            <w:r w:rsidRPr="00D746C9">
              <w:rPr>
                <w:sz w:val="20"/>
                <w:szCs w:val="20"/>
              </w:rPr>
              <w:t xml:space="preserve"> the depth and breadth of the State’s ELP standards, across all proficiency levels, domains, and modalities identified therein;  </w:t>
            </w:r>
          </w:p>
          <w:p w14:paraId="3055D5F2" w14:textId="77777777" w:rsidR="004B0E92" w:rsidRPr="00EF3D7D" w:rsidRDefault="004B0E92" w:rsidP="008D31CB">
            <w:pPr>
              <w:numPr>
                <w:ilvl w:val="0"/>
                <w:numId w:val="11"/>
              </w:numPr>
              <w:rPr>
                <w:sz w:val="20"/>
                <w:szCs w:val="20"/>
              </w:rPr>
            </w:pPr>
            <w:r>
              <w:rPr>
                <w:sz w:val="20"/>
                <w:szCs w:val="20"/>
              </w:rPr>
              <w:t xml:space="preserve">Evidence </w:t>
            </w:r>
            <w:r w:rsidRPr="00D746C9">
              <w:rPr>
                <w:sz w:val="20"/>
                <w:szCs w:val="20"/>
              </w:rPr>
              <w:t>of alignment between the State’s ELP standards and the language demands implied by, or explicitly stated in, the Sta</w:t>
            </w:r>
            <w:r>
              <w:rPr>
                <w:sz w:val="20"/>
                <w:szCs w:val="20"/>
              </w:rPr>
              <w:t>te’s academic content standards</w:t>
            </w:r>
          </w:p>
        </w:tc>
      </w:tr>
    </w:tbl>
    <w:p w14:paraId="02424BCF" w14:textId="77777777" w:rsidR="004B0E92" w:rsidRDefault="004B0E92" w:rsidP="004B0E92"/>
    <w:p w14:paraId="4462EA30" w14:textId="77777777" w:rsidR="004B0E92" w:rsidRDefault="004B0E92" w:rsidP="004B0E92">
      <w:pPr>
        <w:pStyle w:val="Heading2"/>
      </w:pPr>
      <w:r>
        <w:br w:type="page"/>
      </w:r>
      <w:bookmarkStart w:id="21" w:name="_Toc3354968"/>
      <w:r w:rsidRPr="00F47BF4">
        <w:lastRenderedPageBreak/>
        <w:t xml:space="preserve">Critical Element 3.2 – Validity Based on </w:t>
      </w:r>
      <w:r>
        <w:t>Linguistic</w:t>
      </w:r>
      <w:r w:rsidRPr="00F47BF4">
        <w:t xml:space="preserve"> Processes</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6040ABF3"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21BF10CD"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9F45F64"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EFC4DC7"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2C6380C8" w14:textId="77777777" w:rsidTr="00385738">
        <w:tc>
          <w:tcPr>
            <w:tcW w:w="3618" w:type="dxa"/>
            <w:shd w:val="clear" w:color="auto" w:fill="auto"/>
          </w:tcPr>
          <w:p w14:paraId="2C116F68" w14:textId="77777777" w:rsidR="004B0E92" w:rsidRPr="002313D0" w:rsidRDefault="004B0E92" w:rsidP="00385738">
            <w:pPr>
              <w:spacing w:before="80"/>
              <w:rPr>
                <w:sz w:val="20"/>
              </w:rPr>
            </w:pPr>
            <w:r w:rsidRPr="00882BAC">
              <w:rPr>
                <w:sz w:val="20"/>
                <w:szCs w:val="20"/>
              </w:rPr>
              <w:t xml:space="preserve">The State has </w:t>
            </w:r>
            <w:r w:rsidRPr="00882BAC">
              <w:rPr>
                <w:sz w:val="20"/>
              </w:rPr>
              <w:t>documented adequate validity</w:t>
            </w:r>
            <w:r w:rsidRPr="00882BAC">
              <w:rPr>
                <w:b/>
                <w:sz w:val="20"/>
              </w:rPr>
              <w:t xml:space="preserve"> </w:t>
            </w:r>
            <w:r w:rsidRPr="00882BAC">
              <w:rPr>
                <w:sz w:val="20"/>
              </w:rPr>
              <w:t>evidence that its assessments tap</w:t>
            </w:r>
            <w:r w:rsidRPr="00882BAC">
              <w:rPr>
                <w:b/>
                <w:i/>
                <w:sz w:val="20"/>
              </w:rPr>
              <w:t xml:space="preserve"> the intended language processes</w:t>
            </w:r>
            <w:r w:rsidRPr="00882BAC">
              <w:rPr>
                <w:sz w:val="20"/>
              </w:rPr>
              <w:t xml:space="preserve"> appropriate for each grade level/grade-band as represented in the State’s ELP standards.</w:t>
            </w:r>
          </w:p>
          <w:p w14:paraId="33EBB25D" w14:textId="77777777" w:rsidR="004B0E92" w:rsidRPr="0077197F" w:rsidRDefault="004B0E92" w:rsidP="00385738">
            <w:pPr>
              <w:spacing w:before="80"/>
              <w:rPr>
                <w:sz w:val="20"/>
                <w:szCs w:val="20"/>
              </w:rPr>
            </w:pPr>
          </w:p>
        </w:tc>
        <w:tc>
          <w:tcPr>
            <w:tcW w:w="4779" w:type="dxa"/>
            <w:shd w:val="clear" w:color="auto" w:fill="auto"/>
          </w:tcPr>
          <w:p w14:paraId="74265B7F" w14:textId="77777777" w:rsidR="004B0E92" w:rsidRDefault="004B0E92" w:rsidP="00385738">
            <w:pPr>
              <w:autoSpaceDE w:val="0"/>
              <w:autoSpaceDN w:val="0"/>
              <w:adjustRightInd w:val="0"/>
              <w:rPr>
                <w:sz w:val="20"/>
                <w:szCs w:val="20"/>
              </w:rPr>
            </w:pPr>
            <w:r>
              <w:rPr>
                <w:sz w:val="20"/>
                <w:szCs w:val="20"/>
              </w:rPr>
              <w:t>DRC LAS Links® Second Edition, Forms C and</w:t>
            </w:r>
          </w:p>
          <w:p w14:paraId="7E90FC70" w14:textId="77777777" w:rsidR="004B0E92" w:rsidRDefault="004B0E92" w:rsidP="00385738">
            <w:pPr>
              <w:autoSpaceDE w:val="0"/>
              <w:autoSpaceDN w:val="0"/>
              <w:adjustRightInd w:val="0"/>
              <w:rPr>
                <w:sz w:val="20"/>
                <w:szCs w:val="20"/>
              </w:rPr>
            </w:pPr>
            <w:r>
              <w:rPr>
                <w:sz w:val="20"/>
                <w:szCs w:val="20"/>
              </w:rPr>
              <w:t>D Technical Manual, 2018, pgs. 61-98, 196-203</w:t>
            </w:r>
          </w:p>
          <w:p w14:paraId="1B3144B5" w14:textId="77777777" w:rsidR="004B0E92" w:rsidRDefault="004B0E92" w:rsidP="00385738">
            <w:pPr>
              <w:autoSpaceDE w:val="0"/>
              <w:autoSpaceDN w:val="0"/>
              <w:adjustRightInd w:val="0"/>
              <w:rPr>
                <w:sz w:val="20"/>
                <w:szCs w:val="20"/>
              </w:rPr>
            </w:pPr>
          </w:p>
          <w:p w14:paraId="4C259C82" w14:textId="77777777" w:rsidR="004B0E92" w:rsidRPr="002E7C8F" w:rsidRDefault="004B0E92" w:rsidP="00385738">
            <w:pPr>
              <w:pStyle w:val="ListParagraph"/>
              <w:widowControl w:val="0"/>
              <w:autoSpaceDE w:val="0"/>
              <w:autoSpaceDN w:val="0"/>
              <w:adjustRightInd w:val="0"/>
              <w:spacing w:before="40" w:after="40"/>
              <w:ind w:left="0" w:hanging="18"/>
              <w:rPr>
                <w:sz w:val="20"/>
                <w:szCs w:val="20"/>
              </w:rPr>
            </w:pPr>
          </w:p>
        </w:tc>
        <w:tc>
          <w:tcPr>
            <w:tcW w:w="5013" w:type="dxa"/>
            <w:shd w:val="clear" w:color="auto" w:fill="auto"/>
          </w:tcPr>
          <w:p w14:paraId="59F20F60" w14:textId="77777777" w:rsidR="004B0E92" w:rsidRPr="005873E6" w:rsidRDefault="004B0E92" w:rsidP="00385738">
            <w:pPr>
              <w:widowControl w:val="0"/>
              <w:autoSpaceDE w:val="0"/>
              <w:autoSpaceDN w:val="0"/>
              <w:adjustRightInd w:val="0"/>
              <w:spacing w:before="40" w:after="40"/>
              <w:rPr>
                <w:sz w:val="20"/>
              </w:rPr>
            </w:pPr>
            <w:r w:rsidRPr="005873E6">
              <w:rPr>
                <w:sz w:val="20"/>
              </w:rPr>
              <w:t>Peers could find no direct evidence that student response process</w:t>
            </w:r>
            <w:r>
              <w:rPr>
                <w:sz w:val="20"/>
              </w:rPr>
              <w:t xml:space="preserve">es were </w:t>
            </w:r>
            <w:r w:rsidRPr="005873E6">
              <w:rPr>
                <w:sz w:val="20"/>
              </w:rPr>
              <w:t xml:space="preserve">evaluated for LAS Links, only the general steps taken during test development. </w:t>
            </w:r>
          </w:p>
          <w:p w14:paraId="3644C226" w14:textId="77777777" w:rsidR="004B0E92" w:rsidRPr="005873E6" w:rsidRDefault="004B0E92" w:rsidP="00385738">
            <w:pPr>
              <w:widowControl w:val="0"/>
              <w:autoSpaceDE w:val="0"/>
              <w:autoSpaceDN w:val="0"/>
              <w:adjustRightInd w:val="0"/>
              <w:spacing w:before="40" w:after="40"/>
              <w:rPr>
                <w:sz w:val="20"/>
              </w:rPr>
            </w:pPr>
          </w:p>
          <w:p w14:paraId="06D8F158" w14:textId="77777777" w:rsidR="004B0E92" w:rsidRPr="005873E6" w:rsidRDefault="004B0E92" w:rsidP="00385738">
            <w:pPr>
              <w:widowControl w:val="0"/>
              <w:autoSpaceDE w:val="0"/>
              <w:autoSpaceDN w:val="0"/>
              <w:adjustRightInd w:val="0"/>
              <w:spacing w:before="40" w:after="40"/>
              <w:rPr>
                <w:sz w:val="20"/>
              </w:rPr>
            </w:pPr>
            <w:r w:rsidRPr="005873E6">
              <w:rPr>
                <w:sz w:val="20"/>
              </w:rPr>
              <w:t>Du</w:t>
            </w:r>
            <w:r>
              <w:rPr>
                <w:sz w:val="20"/>
              </w:rPr>
              <w:t xml:space="preserve">ring the test development phase, </w:t>
            </w:r>
            <w:r w:rsidRPr="005873E6">
              <w:rPr>
                <w:sz w:val="20"/>
              </w:rPr>
              <w:t>CTB took steps to prevent items from introducing construct-irrelevant variance and promote the test taker’s use of the intended response process.</w:t>
            </w:r>
          </w:p>
          <w:p w14:paraId="4BAF5FA9" w14:textId="77777777" w:rsidR="004B0E92" w:rsidRPr="005873E6" w:rsidRDefault="004B0E92" w:rsidP="00385738">
            <w:pPr>
              <w:widowControl w:val="0"/>
              <w:autoSpaceDE w:val="0"/>
              <w:autoSpaceDN w:val="0"/>
              <w:adjustRightInd w:val="0"/>
              <w:spacing w:before="40" w:after="40"/>
              <w:rPr>
                <w:sz w:val="20"/>
              </w:rPr>
            </w:pPr>
          </w:p>
          <w:p w14:paraId="21F5B40F" w14:textId="77777777" w:rsidR="004B0E92" w:rsidRPr="005873E6" w:rsidRDefault="004B0E92" w:rsidP="00385738">
            <w:pPr>
              <w:widowControl w:val="0"/>
              <w:autoSpaceDE w:val="0"/>
              <w:autoSpaceDN w:val="0"/>
              <w:adjustRightInd w:val="0"/>
              <w:spacing w:before="40" w:after="40"/>
              <w:rPr>
                <w:sz w:val="20"/>
              </w:rPr>
            </w:pPr>
            <w:r w:rsidRPr="005873E6">
              <w:rPr>
                <w:sz w:val="20"/>
              </w:rPr>
              <w:t>For LAS Links field testing</w:t>
            </w:r>
            <w:r>
              <w:rPr>
                <w:sz w:val="20"/>
              </w:rPr>
              <w:t>,</w:t>
            </w:r>
            <w:r w:rsidRPr="005873E6">
              <w:rPr>
                <w:sz w:val="20"/>
              </w:rPr>
              <w:t xml:space="preserve"> scorers were trained before local scoring of speaking and constructed response reading and writing items. </w:t>
            </w:r>
          </w:p>
          <w:p w14:paraId="6A0958DF" w14:textId="77777777" w:rsidR="004B0E92" w:rsidRPr="005873E6" w:rsidRDefault="004B0E92" w:rsidP="00385738">
            <w:pPr>
              <w:widowControl w:val="0"/>
              <w:autoSpaceDE w:val="0"/>
              <w:autoSpaceDN w:val="0"/>
              <w:adjustRightInd w:val="0"/>
              <w:spacing w:before="40" w:after="40"/>
              <w:rPr>
                <w:sz w:val="20"/>
              </w:rPr>
            </w:pPr>
          </w:p>
          <w:p w14:paraId="03A35069" w14:textId="77777777" w:rsidR="004B0E92" w:rsidRPr="005873E6" w:rsidRDefault="004B0E92" w:rsidP="00385738">
            <w:pPr>
              <w:pStyle w:val="ListParagraph"/>
              <w:widowControl w:val="0"/>
              <w:autoSpaceDE w:val="0"/>
              <w:autoSpaceDN w:val="0"/>
              <w:adjustRightInd w:val="0"/>
              <w:spacing w:before="40" w:after="40"/>
              <w:ind w:left="0"/>
              <w:rPr>
                <w:sz w:val="20"/>
              </w:rPr>
            </w:pPr>
            <w:r w:rsidRPr="005873E6">
              <w:rPr>
                <w:sz w:val="20"/>
              </w:rPr>
              <w:t>It is unclear what conclusions are being drawn regarding response process</w:t>
            </w:r>
            <w:r>
              <w:rPr>
                <w:sz w:val="20"/>
              </w:rPr>
              <w:t>es</w:t>
            </w:r>
            <w:r w:rsidRPr="005873E6">
              <w:rPr>
                <w:sz w:val="20"/>
              </w:rPr>
              <w:t xml:space="preserve"> evidence based on the table data presented in the state’s index regarding the national norming study. The evidence seems more appropriate for CE</w:t>
            </w:r>
            <w:r>
              <w:rPr>
                <w:sz w:val="20"/>
              </w:rPr>
              <w:t xml:space="preserve"> </w:t>
            </w:r>
            <w:r w:rsidRPr="005873E6">
              <w:rPr>
                <w:sz w:val="20"/>
              </w:rPr>
              <w:t>3.3.</w:t>
            </w:r>
          </w:p>
          <w:p w14:paraId="2B50871D" w14:textId="77777777" w:rsidR="004B0E92" w:rsidRPr="005873E6" w:rsidRDefault="004B0E92" w:rsidP="00385738">
            <w:pPr>
              <w:pStyle w:val="ListParagraph"/>
              <w:widowControl w:val="0"/>
              <w:autoSpaceDE w:val="0"/>
              <w:autoSpaceDN w:val="0"/>
              <w:adjustRightInd w:val="0"/>
              <w:spacing w:before="40" w:after="40"/>
              <w:ind w:left="0"/>
              <w:rPr>
                <w:sz w:val="20"/>
              </w:rPr>
            </w:pPr>
          </w:p>
          <w:p w14:paraId="4B5C3B80" w14:textId="77777777" w:rsidR="004B0E92" w:rsidRPr="0077197F" w:rsidRDefault="004B0E92" w:rsidP="00385738">
            <w:pPr>
              <w:widowControl w:val="0"/>
              <w:autoSpaceDE w:val="0"/>
              <w:autoSpaceDN w:val="0"/>
              <w:adjustRightInd w:val="0"/>
              <w:spacing w:before="40" w:after="40"/>
              <w:rPr>
                <w:sz w:val="20"/>
              </w:rPr>
            </w:pPr>
            <w:r>
              <w:rPr>
                <w:sz w:val="20"/>
              </w:rPr>
              <w:t xml:space="preserve">Per peer review guidance, peers recommend the state submit </w:t>
            </w:r>
            <w:r w:rsidRPr="008C34EC">
              <w:rPr>
                <w:sz w:val="20"/>
              </w:rPr>
              <w:t xml:space="preserve">evidence that could include cognitive labs, reports of expert judgment; or empirical evidence such as teacher ratings of student language proficiency, student performance on performance tasks, or external assessments of </w:t>
            </w:r>
            <w:r>
              <w:rPr>
                <w:sz w:val="20"/>
              </w:rPr>
              <w:t xml:space="preserve">the same knowledge and skills. </w:t>
            </w:r>
          </w:p>
        </w:tc>
      </w:tr>
      <w:tr w:rsidR="004B0E92" w:rsidRPr="00532BBF" w14:paraId="22999968" w14:textId="77777777" w:rsidTr="00385738">
        <w:tc>
          <w:tcPr>
            <w:tcW w:w="13410" w:type="dxa"/>
            <w:gridSpan w:val="3"/>
            <w:shd w:val="clear" w:color="auto" w:fill="auto"/>
          </w:tcPr>
          <w:p w14:paraId="005045FD" w14:textId="77777777" w:rsidR="004B0E92" w:rsidRPr="00532BBF" w:rsidRDefault="004B0E92" w:rsidP="00385738">
            <w:pPr>
              <w:pStyle w:val="Heading4"/>
            </w:pPr>
            <w:r>
              <w:t>Section 3.2</w:t>
            </w:r>
            <w:r w:rsidRPr="00532BBF">
              <w:t xml:space="preserve"> Summary Statement</w:t>
            </w:r>
          </w:p>
        </w:tc>
      </w:tr>
      <w:tr w:rsidR="004B0E92" w:rsidRPr="00532BBF" w14:paraId="23A67DAD" w14:textId="77777777" w:rsidTr="00385738">
        <w:tc>
          <w:tcPr>
            <w:tcW w:w="13410" w:type="dxa"/>
            <w:gridSpan w:val="3"/>
            <w:shd w:val="clear" w:color="auto" w:fill="auto"/>
          </w:tcPr>
          <w:p w14:paraId="799F01D9" w14:textId="77777777" w:rsidR="004B0E92" w:rsidRPr="00532BBF" w:rsidRDefault="004B0E92" w:rsidP="00385738">
            <w:pPr>
              <w:rPr>
                <w:sz w:val="20"/>
                <w:szCs w:val="20"/>
              </w:rPr>
            </w:pPr>
            <w:r w:rsidRPr="00532BBF">
              <w:rPr>
                <w:sz w:val="20"/>
                <w:szCs w:val="20"/>
              </w:rPr>
              <w:t>___ No additional evidence is required or</w:t>
            </w:r>
          </w:p>
          <w:p w14:paraId="6416CC9A" w14:textId="77777777" w:rsidR="004B0E92" w:rsidRPr="00532BBF" w:rsidRDefault="004B0E92" w:rsidP="00385738">
            <w:pPr>
              <w:rPr>
                <w:sz w:val="20"/>
                <w:szCs w:val="20"/>
              </w:rPr>
            </w:pPr>
          </w:p>
          <w:p w14:paraId="59B42A01" w14:textId="77777777" w:rsidR="004B0E92" w:rsidRPr="00532BBF" w:rsidRDefault="004B0E92" w:rsidP="00385738">
            <w:pPr>
              <w:rPr>
                <w:sz w:val="20"/>
                <w:szCs w:val="20"/>
              </w:rPr>
            </w:pPr>
            <w:r>
              <w:rPr>
                <w:sz w:val="20"/>
                <w:szCs w:val="20"/>
              </w:rPr>
              <w:t>_X</w:t>
            </w:r>
            <w:r w:rsidRPr="00532BBF">
              <w:rPr>
                <w:sz w:val="20"/>
                <w:szCs w:val="20"/>
              </w:rPr>
              <w:t>_ The following additional evidence is needed/provide brief rationale:</w:t>
            </w:r>
          </w:p>
          <w:p w14:paraId="6FBC3E14" w14:textId="77777777" w:rsidR="004B0E92" w:rsidRPr="00532BBF" w:rsidRDefault="004B0E92" w:rsidP="008D31CB">
            <w:pPr>
              <w:pStyle w:val="ListParagraph"/>
              <w:numPr>
                <w:ilvl w:val="0"/>
                <w:numId w:val="3"/>
              </w:numPr>
              <w:spacing w:before="80"/>
              <w:ind w:left="157" w:hanging="270"/>
              <w:rPr>
                <w:sz w:val="20"/>
                <w:szCs w:val="20"/>
              </w:rPr>
            </w:pPr>
            <w:r w:rsidRPr="005873E6">
              <w:rPr>
                <w:sz w:val="20"/>
                <w:szCs w:val="20"/>
              </w:rPr>
              <w:t xml:space="preserve">Evidence </w:t>
            </w:r>
            <w:r w:rsidRPr="005873E6">
              <w:rPr>
                <w:sz w:val="20"/>
              </w:rPr>
              <w:t>that the State’s assessments tap</w:t>
            </w:r>
            <w:r w:rsidRPr="005873E6">
              <w:rPr>
                <w:b/>
                <w:i/>
                <w:sz w:val="20"/>
              </w:rPr>
              <w:t xml:space="preserve"> </w:t>
            </w:r>
            <w:r w:rsidRPr="005873E6">
              <w:rPr>
                <w:sz w:val="20"/>
              </w:rPr>
              <w:t>the intended language processes appropriate for each grade level/grade-band as represented in the State’s ELP stan</w:t>
            </w:r>
            <w:r>
              <w:rPr>
                <w:sz w:val="20"/>
              </w:rPr>
              <w:t>dards</w:t>
            </w:r>
          </w:p>
        </w:tc>
      </w:tr>
    </w:tbl>
    <w:p w14:paraId="45302BCA" w14:textId="77777777" w:rsidR="004B0E92" w:rsidRDefault="004B0E92" w:rsidP="004B0E92"/>
    <w:p w14:paraId="640CCB55" w14:textId="77777777" w:rsidR="004B0E92" w:rsidRDefault="004B0E92" w:rsidP="004B0E92">
      <w:pPr>
        <w:pStyle w:val="Heading2"/>
      </w:pPr>
      <w:r>
        <w:br w:type="page"/>
      </w:r>
      <w:bookmarkStart w:id="22" w:name="_Toc3354969"/>
      <w:r w:rsidRPr="00F47BF4">
        <w:lastRenderedPageBreak/>
        <w:t>Critical Element 3.3 – Validity Based on Internal Structure</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32D7C3CF"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59E16BBF"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7EF5F7F"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52F4E32"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39DD5D08" w14:textId="77777777" w:rsidTr="00385738">
        <w:tc>
          <w:tcPr>
            <w:tcW w:w="3618" w:type="dxa"/>
            <w:shd w:val="clear" w:color="auto" w:fill="auto"/>
          </w:tcPr>
          <w:p w14:paraId="1A7FA88E" w14:textId="77777777" w:rsidR="004B0E92" w:rsidRPr="002313D0" w:rsidRDefault="004B0E92" w:rsidP="00385738">
            <w:pPr>
              <w:spacing w:before="80"/>
              <w:rPr>
                <w:sz w:val="20"/>
                <w:szCs w:val="20"/>
              </w:rPr>
            </w:pPr>
            <w:r w:rsidRPr="00CA7C32">
              <w:rPr>
                <w:sz w:val="20"/>
                <w:szCs w:val="20"/>
              </w:rPr>
              <w:t xml:space="preserve">The State has </w:t>
            </w:r>
            <w:r w:rsidRPr="00CA7C32">
              <w:rPr>
                <w:sz w:val="20"/>
              </w:rPr>
              <w:t>documented adequate validity</w:t>
            </w:r>
            <w:r w:rsidRPr="00CA7C32">
              <w:rPr>
                <w:b/>
                <w:sz w:val="20"/>
              </w:rPr>
              <w:t xml:space="preserve"> </w:t>
            </w:r>
            <w:r w:rsidRPr="00CA7C32">
              <w:rPr>
                <w:sz w:val="20"/>
              </w:rPr>
              <w:t>evidence</w:t>
            </w:r>
            <w:r w:rsidRPr="00CA7C32">
              <w:rPr>
                <w:sz w:val="20"/>
                <w:szCs w:val="20"/>
              </w:rPr>
              <w:t xml:space="preserve"> that the </w:t>
            </w:r>
            <w:r w:rsidRPr="00CA7C32">
              <w:rPr>
                <w:sz w:val="20"/>
              </w:rPr>
              <w:t xml:space="preserve">scoring and reporting structures of its assessments are consistent with the sub-domain structures of the State’s  </w:t>
            </w:r>
            <w:r w:rsidRPr="00CA7C32">
              <w:rPr>
                <w:b/>
                <w:i/>
                <w:sz w:val="20"/>
              </w:rPr>
              <w:t>ELP standards</w:t>
            </w:r>
            <w:r w:rsidRPr="00CA7C32">
              <w:rPr>
                <w:sz w:val="20"/>
              </w:rPr>
              <w:t xml:space="preserve"> </w:t>
            </w:r>
            <w:r w:rsidRPr="00CA7C32">
              <w:rPr>
                <w:sz w:val="20"/>
                <w:szCs w:val="20"/>
              </w:rPr>
              <w:t>on which the intended interpretations and uses of results are based.</w:t>
            </w:r>
          </w:p>
          <w:p w14:paraId="2E720696" w14:textId="77777777" w:rsidR="004B0E92" w:rsidRPr="0077197F" w:rsidRDefault="004B0E92" w:rsidP="00385738">
            <w:pPr>
              <w:spacing w:before="80"/>
              <w:rPr>
                <w:sz w:val="20"/>
                <w:szCs w:val="20"/>
              </w:rPr>
            </w:pPr>
          </w:p>
          <w:p w14:paraId="67736867" w14:textId="77777777" w:rsidR="004B0E92" w:rsidRPr="0077197F" w:rsidRDefault="004B0E92" w:rsidP="00385738">
            <w:pPr>
              <w:spacing w:before="80"/>
              <w:rPr>
                <w:sz w:val="20"/>
                <w:szCs w:val="20"/>
              </w:rPr>
            </w:pPr>
          </w:p>
          <w:p w14:paraId="5179354C" w14:textId="77777777" w:rsidR="004B0E92" w:rsidRPr="0077197F" w:rsidRDefault="004B0E92" w:rsidP="00385738">
            <w:pPr>
              <w:spacing w:before="80"/>
              <w:rPr>
                <w:sz w:val="20"/>
                <w:szCs w:val="20"/>
              </w:rPr>
            </w:pPr>
          </w:p>
        </w:tc>
        <w:tc>
          <w:tcPr>
            <w:tcW w:w="4779" w:type="dxa"/>
            <w:shd w:val="clear" w:color="auto" w:fill="auto"/>
          </w:tcPr>
          <w:p w14:paraId="31FE8472" w14:textId="77777777" w:rsidR="004B0E92" w:rsidRDefault="004B0E92" w:rsidP="00385738">
            <w:pPr>
              <w:autoSpaceDE w:val="0"/>
              <w:autoSpaceDN w:val="0"/>
              <w:adjustRightInd w:val="0"/>
              <w:rPr>
                <w:sz w:val="20"/>
                <w:szCs w:val="20"/>
              </w:rPr>
            </w:pPr>
            <w:r>
              <w:rPr>
                <w:sz w:val="20"/>
                <w:szCs w:val="20"/>
              </w:rPr>
              <w:t>DRC LAS Links® Second Edition, Forms C and</w:t>
            </w:r>
          </w:p>
          <w:p w14:paraId="0C2BC91B" w14:textId="77777777" w:rsidR="004B0E92" w:rsidRPr="007359B8" w:rsidRDefault="004B0E92" w:rsidP="00385738">
            <w:pPr>
              <w:pStyle w:val="ListParagraph"/>
              <w:ind w:left="0"/>
            </w:pPr>
            <w:r>
              <w:rPr>
                <w:sz w:val="20"/>
                <w:szCs w:val="20"/>
              </w:rPr>
              <w:t>D Technical Manual, 2018, Chapter 6, pgs 61–78</w:t>
            </w:r>
          </w:p>
        </w:tc>
        <w:tc>
          <w:tcPr>
            <w:tcW w:w="5013" w:type="dxa"/>
            <w:shd w:val="clear" w:color="auto" w:fill="auto"/>
          </w:tcPr>
          <w:p w14:paraId="06CED36C" w14:textId="77777777" w:rsidR="004B0E92" w:rsidRPr="004D7D60" w:rsidRDefault="004B0E92" w:rsidP="00385738">
            <w:pPr>
              <w:autoSpaceDE w:val="0"/>
              <w:autoSpaceDN w:val="0"/>
              <w:adjustRightInd w:val="0"/>
              <w:rPr>
                <w:sz w:val="20"/>
              </w:rPr>
            </w:pPr>
            <w:r w:rsidRPr="004D7D60">
              <w:rPr>
                <w:sz w:val="20"/>
              </w:rPr>
              <w:t>Assuming that the state is using TESOL standards, there are five of them (social/intercultural/instructional, language arts, mathematics, science, social studies).  Each is divided into the 4 domains of reading, writing, speaking, and listening.</w:t>
            </w:r>
          </w:p>
          <w:p w14:paraId="47919C11" w14:textId="77777777" w:rsidR="004B0E92" w:rsidRPr="004D7D60" w:rsidRDefault="004B0E92" w:rsidP="00385738">
            <w:pPr>
              <w:rPr>
                <w:sz w:val="20"/>
              </w:rPr>
            </w:pPr>
          </w:p>
          <w:p w14:paraId="381D1D1B" w14:textId="77777777" w:rsidR="004B0E92" w:rsidRPr="004D7D60" w:rsidRDefault="004B0E92" w:rsidP="00385738">
            <w:pPr>
              <w:rPr>
                <w:sz w:val="20"/>
              </w:rPr>
            </w:pPr>
            <w:r w:rsidRPr="004D7D60">
              <w:rPr>
                <w:sz w:val="20"/>
              </w:rPr>
              <w:t>LAS Links reports domain, composite, and overall scores, and according to language context strands that map onto TESOL standards.</w:t>
            </w:r>
          </w:p>
          <w:p w14:paraId="4FF261FC" w14:textId="77777777" w:rsidR="004B0E92" w:rsidRPr="004D7D60" w:rsidRDefault="004B0E92" w:rsidP="00385738">
            <w:pPr>
              <w:rPr>
                <w:sz w:val="20"/>
              </w:rPr>
            </w:pPr>
          </w:p>
          <w:p w14:paraId="20A5DDD6" w14:textId="77777777" w:rsidR="004B0E92" w:rsidRDefault="004B0E92" w:rsidP="00385738">
            <w:pPr>
              <w:rPr>
                <w:sz w:val="20"/>
              </w:rPr>
            </w:pPr>
            <w:r w:rsidRPr="004D7D60">
              <w:rPr>
                <w:sz w:val="20"/>
              </w:rPr>
              <w:t xml:space="preserve">The LAS Links technical manual describes relationships between the four domains (Listening, Speaking, Reading, and Writing) and composite scores (Oral, Comprehension, Literacy, Productive, and Overall) by showing the crosswalks. The language context strands are calculated based on “subskill score” categories when there are sufficient score points to support reporting. </w:t>
            </w:r>
          </w:p>
          <w:p w14:paraId="163C13B1" w14:textId="77777777" w:rsidR="004B0E92" w:rsidRDefault="004B0E92" w:rsidP="00385738">
            <w:pPr>
              <w:rPr>
                <w:sz w:val="20"/>
              </w:rPr>
            </w:pPr>
          </w:p>
          <w:p w14:paraId="19CC2294" w14:textId="77777777" w:rsidR="004B0E92" w:rsidRPr="004D7D60" w:rsidRDefault="004B0E92" w:rsidP="00385738">
            <w:pPr>
              <w:autoSpaceDE w:val="0"/>
              <w:autoSpaceDN w:val="0"/>
              <w:adjustRightInd w:val="0"/>
              <w:rPr>
                <w:sz w:val="20"/>
              </w:rPr>
            </w:pPr>
            <w:r w:rsidRPr="004D7D60">
              <w:rPr>
                <w:sz w:val="20"/>
              </w:rPr>
              <w:t>The state provides evidence of internal structure of LAS Links as coefficient alpha and SEM for raw and scale scores for reading, writing, speaking, listening and the SEM for each domain’s TCC (pp. 84-91). Peers could find no evidence for the internal consistency of composite scores or language context strands, or any evidence of the factor structure to indicate any of the subdomains are distinct from one another. There was also no rationale or</w:t>
            </w:r>
            <w:r>
              <w:rPr>
                <w:sz w:val="20"/>
              </w:rPr>
              <w:t xml:space="preserve"> empirical</w:t>
            </w:r>
            <w:r w:rsidRPr="004D7D60">
              <w:rPr>
                <w:sz w:val="20"/>
              </w:rPr>
              <w:t xml:space="preserve"> defense found for how the domain scores are combined into an overall score other than to say that it is the average of the four domain scores. </w:t>
            </w:r>
          </w:p>
          <w:p w14:paraId="475740DC" w14:textId="77777777" w:rsidR="004B0E92" w:rsidRPr="004D7D60" w:rsidRDefault="004B0E92" w:rsidP="00385738">
            <w:pPr>
              <w:autoSpaceDE w:val="0"/>
              <w:autoSpaceDN w:val="0"/>
              <w:adjustRightInd w:val="0"/>
              <w:rPr>
                <w:sz w:val="20"/>
              </w:rPr>
            </w:pPr>
          </w:p>
          <w:p w14:paraId="7960217E" w14:textId="77777777" w:rsidR="004B0E92" w:rsidRDefault="004B0E92" w:rsidP="00385738">
            <w:pPr>
              <w:rPr>
                <w:sz w:val="20"/>
                <w:szCs w:val="20"/>
              </w:rPr>
            </w:pPr>
            <w:r>
              <w:rPr>
                <w:sz w:val="20"/>
                <w:szCs w:val="20"/>
              </w:rPr>
              <w:t xml:space="preserve">The tables </w:t>
            </w:r>
            <w:r w:rsidRPr="008C34EC">
              <w:rPr>
                <w:sz w:val="20"/>
                <w:szCs w:val="20"/>
              </w:rPr>
              <w:t>noted</w:t>
            </w:r>
            <w:r>
              <w:rPr>
                <w:sz w:val="20"/>
                <w:szCs w:val="20"/>
              </w:rPr>
              <w:t xml:space="preserve"> in the state’s submission index</w:t>
            </w:r>
            <w:r w:rsidRPr="008C34EC">
              <w:rPr>
                <w:sz w:val="20"/>
                <w:szCs w:val="20"/>
              </w:rPr>
              <w:t xml:space="preserve"> for CE 3.2</w:t>
            </w:r>
            <w:r>
              <w:rPr>
                <w:sz w:val="20"/>
                <w:szCs w:val="20"/>
              </w:rPr>
              <w:t xml:space="preserve"> could h</w:t>
            </w:r>
            <w:r w:rsidRPr="008C34EC">
              <w:rPr>
                <w:sz w:val="20"/>
                <w:szCs w:val="20"/>
              </w:rPr>
              <w:t xml:space="preserve">ave been cited here as evidence of correlations among test components. </w:t>
            </w:r>
            <w:r>
              <w:rPr>
                <w:sz w:val="20"/>
                <w:szCs w:val="20"/>
              </w:rPr>
              <w:t>Since it is unclear how the domains are defined, it is unclear whether these correlations are adequate.</w:t>
            </w:r>
          </w:p>
          <w:p w14:paraId="77F1DC5A" w14:textId="77777777" w:rsidR="004B0E92" w:rsidRPr="008C34EC" w:rsidRDefault="004B0E92" w:rsidP="00385738">
            <w:pPr>
              <w:rPr>
                <w:sz w:val="20"/>
                <w:szCs w:val="20"/>
              </w:rPr>
            </w:pPr>
          </w:p>
          <w:p w14:paraId="149F5306" w14:textId="77777777" w:rsidR="004B0E92" w:rsidRPr="008C34EC" w:rsidRDefault="004B0E92" w:rsidP="00385738">
            <w:pPr>
              <w:rPr>
                <w:sz w:val="20"/>
                <w:szCs w:val="20"/>
              </w:rPr>
            </w:pPr>
            <w:r w:rsidRPr="008C34EC">
              <w:rPr>
                <w:sz w:val="20"/>
                <w:szCs w:val="20"/>
              </w:rPr>
              <w:t>The tables cited by the state in this CE relate to cut scores, which do not address any of the evidence suggested for meeting the requirements of this section.</w:t>
            </w:r>
          </w:p>
          <w:p w14:paraId="3F40B711" w14:textId="77777777" w:rsidR="004B0E92" w:rsidRPr="008C34EC" w:rsidRDefault="004B0E92" w:rsidP="00385738">
            <w:pPr>
              <w:rPr>
                <w:sz w:val="20"/>
                <w:szCs w:val="20"/>
              </w:rPr>
            </w:pPr>
          </w:p>
          <w:p w14:paraId="30BBCF42" w14:textId="77777777" w:rsidR="004B0E92" w:rsidRPr="008C34EC" w:rsidRDefault="004B0E92" w:rsidP="00385738">
            <w:pPr>
              <w:rPr>
                <w:sz w:val="20"/>
                <w:szCs w:val="20"/>
              </w:rPr>
            </w:pPr>
            <w:r>
              <w:rPr>
                <w:sz w:val="20"/>
                <w:szCs w:val="20"/>
              </w:rPr>
              <w:t xml:space="preserve">Peers could find no </w:t>
            </w:r>
            <w:r w:rsidRPr="008C34EC">
              <w:rPr>
                <w:sz w:val="20"/>
                <w:szCs w:val="20"/>
              </w:rPr>
              <w:t>evidence with respect to:</w:t>
            </w:r>
          </w:p>
          <w:p w14:paraId="300AE6C7" w14:textId="77777777" w:rsidR="004B0E92" w:rsidRPr="008C34EC" w:rsidRDefault="004B0E92" w:rsidP="00385738">
            <w:pPr>
              <w:rPr>
                <w:sz w:val="20"/>
                <w:szCs w:val="20"/>
              </w:rPr>
            </w:pPr>
          </w:p>
          <w:p w14:paraId="2D4424EE" w14:textId="77777777" w:rsidR="004B0E92" w:rsidRPr="008C34EC" w:rsidRDefault="004B0E92" w:rsidP="008D31CB">
            <w:pPr>
              <w:numPr>
                <w:ilvl w:val="0"/>
                <w:numId w:val="3"/>
              </w:numPr>
              <w:ind w:left="63" w:hanging="180"/>
              <w:rPr>
                <w:sz w:val="20"/>
                <w:szCs w:val="20"/>
              </w:rPr>
            </w:pPr>
            <w:r w:rsidRPr="008C34EC">
              <w:rPr>
                <w:sz w:val="20"/>
                <w:szCs w:val="20"/>
              </w:rPr>
              <w:t>DIF – a description of the analysis was given in the Technical Report, but no quantitative analysis was offered for results, nor for the number of items exhibiting DIF that were included/excluded from the test.</w:t>
            </w:r>
          </w:p>
          <w:p w14:paraId="2A4980A0" w14:textId="77777777" w:rsidR="004B0E92" w:rsidRPr="004D7D60" w:rsidRDefault="004B0E92" w:rsidP="008D31CB">
            <w:pPr>
              <w:numPr>
                <w:ilvl w:val="0"/>
                <w:numId w:val="3"/>
              </w:numPr>
              <w:ind w:left="63" w:hanging="180"/>
              <w:rPr>
                <w:rFonts w:ascii="TimesNewRoman" w:hAnsi="TimesNewRoman" w:cs="TimesNewRoman"/>
              </w:rPr>
            </w:pPr>
            <w:r w:rsidRPr="008C34EC">
              <w:rPr>
                <w:sz w:val="20"/>
                <w:szCs w:val="20"/>
              </w:rPr>
              <w:t>Validity of s</w:t>
            </w:r>
            <w:r>
              <w:rPr>
                <w:sz w:val="20"/>
                <w:szCs w:val="20"/>
              </w:rPr>
              <w:t>cores generated from less than four</w:t>
            </w:r>
            <w:r w:rsidRPr="008C34EC">
              <w:rPr>
                <w:sz w:val="20"/>
                <w:szCs w:val="20"/>
              </w:rPr>
              <w:t xml:space="preserve"> domains, which includes calculation of scores for missing domains for students with disabilities for whom certain domains are inappropriate</w:t>
            </w:r>
          </w:p>
          <w:p w14:paraId="60D83C83" w14:textId="77777777" w:rsidR="004B0E92" w:rsidRDefault="004B0E92" w:rsidP="00385738">
            <w:pPr>
              <w:rPr>
                <w:sz w:val="20"/>
                <w:szCs w:val="20"/>
              </w:rPr>
            </w:pPr>
          </w:p>
          <w:p w14:paraId="629644E1" w14:textId="77777777" w:rsidR="004B0E92" w:rsidRPr="008C34EC" w:rsidRDefault="004B0E92" w:rsidP="00385738">
            <w:pPr>
              <w:rPr>
                <w:rFonts w:ascii="TimesNewRoman" w:hAnsi="TimesNewRoman" w:cs="TimesNewRoman"/>
              </w:rPr>
            </w:pPr>
            <w:r w:rsidRPr="004D7D60">
              <w:rPr>
                <w:sz w:val="20"/>
              </w:rPr>
              <w:t>The technical manual recommends us</w:t>
            </w:r>
            <w:r>
              <w:rPr>
                <w:sz w:val="20"/>
              </w:rPr>
              <w:t>ing LAS Links</w:t>
            </w:r>
            <w:r w:rsidRPr="004D7D60">
              <w:rPr>
                <w:sz w:val="20"/>
              </w:rPr>
              <w:t xml:space="preserve"> scores for low-stakes purposes only</w:t>
            </w:r>
            <w:r>
              <w:rPr>
                <w:sz w:val="20"/>
              </w:rPr>
              <w:t xml:space="preserve">, unless triangulated with other evidence. That recommendation </w:t>
            </w:r>
            <w:r w:rsidRPr="004D7D60">
              <w:rPr>
                <w:sz w:val="20"/>
              </w:rPr>
              <w:t>is counter to the state’s intended uses of results for high-stakes decisions.</w:t>
            </w:r>
            <w:r>
              <w:rPr>
                <w:sz w:val="20"/>
                <w:szCs w:val="20"/>
              </w:rPr>
              <w:t xml:space="preserve"> It is not clear then what support MS gives for using the scores to make exit decisions. Based on the state board rule, there do not appear to be other criteria used in making that decision, whereas the technical report recommends using this as one part of a triangulation of other evidence. </w:t>
            </w:r>
          </w:p>
        </w:tc>
      </w:tr>
      <w:tr w:rsidR="004B0E92" w:rsidRPr="00532BBF" w14:paraId="4271E9DB" w14:textId="77777777" w:rsidTr="00385738">
        <w:tc>
          <w:tcPr>
            <w:tcW w:w="13410" w:type="dxa"/>
            <w:gridSpan w:val="3"/>
            <w:shd w:val="clear" w:color="auto" w:fill="auto"/>
          </w:tcPr>
          <w:p w14:paraId="7C46C7F5" w14:textId="77777777" w:rsidR="004B0E92" w:rsidRPr="00532BBF" w:rsidRDefault="004B0E92" w:rsidP="00385738">
            <w:pPr>
              <w:pStyle w:val="Heading4"/>
            </w:pPr>
            <w:r>
              <w:lastRenderedPageBreak/>
              <w:t>Section 3.3</w:t>
            </w:r>
            <w:r w:rsidRPr="00532BBF">
              <w:t xml:space="preserve"> Summary Statement</w:t>
            </w:r>
          </w:p>
        </w:tc>
      </w:tr>
      <w:tr w:rsidR="004B0E92" w:rsidRPr="00532BBF" w14:paraId="32FBAA38" w14:textId="77777777" w:rsidTr="00385738">
        <w:tc>
          <w:tcPr>
            <w:tcW w:w="13410" w:type="dxa"/>
            <w:gridSpan w:val="3"/>
            <w:shd w:val="clear" w:color="auto" w:fill="auto"/>
          </w:tcPr>
          <w:p w14:paraId="2725471C" w14:textId="77777777" w:rsidR="004B0E92" w:rsidRPr="00532BBF" w:rsidRDefault="004B0E92" w:rsidP="00385738">
            <w:pPr>
              <w:rPr>
                <w:sz w:val="20"/>
                <w:szCs w:val="20"/>
              </w:rPr>
            </w:pPr>
            <w:r w:rsidRPr="00532BBF">
              <w:rPr>
                <w:sz w:val="20"/>
                <w:szCs w:val="20"/>
              </w:rPr>
              <w:t>___ No additional evidence is required or</w:t>
            </w:r>
          </w:p>
          <w:p w14:paraId="5C25BAC3" w14:textId="77777777" w:rsidR="004B0E92" w:rsidRPr="00532BBF" w:rsidRDefault="004B0E92" w:rsidP="00385738">
            <w:pPr>
              <w:rPr>
                <w:sz w:val="20"/>
                <w:szCs w:val="20"/>
              </w:rPr>
            </w:pPr>
          </w:p>
          <w:p w14:paraId="2E7AB085" w14:textId="77777777" w:rsidR="004B0E92" w:rsidRPr="00532BBF" w:rsidRDefault="004B0E92" w:rsidP="00385738">
            <w:pPr>
              <w:rPr>
                <w:sz w:val="20"/>
                <w:szCs w:val="20"/>
              </w:rPr>
            </w:pPr>
            <w:r w:rsidRPr="00532BBF">
              <w:rPr>
                <w:sz w:val="20"/>
                <w:szCs w:val="20"/>
              </w:rPr>
              <w:t>___ The following additional evidence is needed/provide brief rationale:</w:t>
            </w:r>
          </w:p>
          <w:p w14:paraId="33D2A473" w14:textId="77777777" w:rsidR="004B0E92" w:rsidRPr="00532BBF" w:rsidRDefault="004B0E92" w:rsidP="008D31CB">
            <w:pPr>
              <w:pStyle w:val="ListParagraph"/>
              <w:numPr>
                <w:ilvl w:val="0"/>
                <w:numId w:val="30"/>
              </w:numPr>
              <w:spacing w:before="80"/>
              <w:ind w:left="157" w:hanging="180"/>
              <w:rPr>
                <w:sz w:val="20"/>
                <w:szCs w:val="20"/>
              </w:rPr>
            </w:pPr>
            <w:r>
              <w:rPr>
                <w:sz w:val="20"/>
              </w:rPr>
              <w:t>A</w:t>
            </w:r>
            <w:r w:rsidRPr="004D7D60">
              <w:rPr>
                <w:sz w:val="20"/>
              </w:rPr>
              <w:t>dequate validity</w:t>
            </w:r>
            <w:r w:rsidRPr="004D7D60">
              <w:rPr>
                <w:b/>
                <w:sz w:val="20"/>
              </w:rPr>
              <w:t xml:space="preserve"> </w:t>
            </w:r>
            <w:r w:rsidRPr="004D7D60">
              <w:rPr>
                <w:sz w:val="20"/>
              </w:rPr>
              <w:t>evidence</w:t>
            </w:r>
            <w:r w:rsidRPr="004D7D60">
              <w:rPr>
                <w:sz w:val="20"/>
                <w:szCs w:val="20"/>
              </w:rPr>
              <w:t xml:space="preserve"> that the </w:t>
            </w:r>
            <w:r w:rsidRPr="004D7D60">
              <w:rPr>
                <w:sz w:val="20"/>
              </w:rPr>
              <w:t>scoring and reporting structures of its assessments are consistent with the sub-do</w:t>
            </w:r>
            <w:r>
              <w:rPr>
                <w:sz w:val="20"/>
              </w:rPr>
              <w:t xml:space="preserve">main structures of the State’s </w:t>
            </w:r>
            <w:r w:rsidRPr="004D7D60">
              <w:rPr>
                <w:sz w:val="20"/>
              </w:rPr>
              <w:t xml:space="preserve">ELP standards </w:t>
            </w:r>
            <w:r w:rsidRPr="004D7D60">
              <w:rPr>
                <w:sz w:val="20"/>
                <w:szCs w:val="20"/>
              </w:rPr>
              <w:t>on which the intended interpretation</w:t>
            </w:r>
            <w:r>
              <w:rPr>
                <w:sz w:val="20"/>
                <w:szCs w:val="20"/>
              </w:rPr>
              <w:t>s and uses of results are based</w:t>
            </w:r>
          </w:p>
        </w:tc>
      </w:tr>
    </w:tbl>
    <w:p w14:paraId="7BBDE308" w14:textId="77777777" w:rsidR="004B0E92" w:rsidRDefault="004B0E92" w:rsidP="004B0E92">
      <w:pPr>
        <w:rPr>
          <w:b/>
          <w:sz w:val="20"/>
          <w:szCs w:val="20"/>
        </w:rPr>
      </w:pPr>
    </w:p>
    <w:p w14:paraId="3EBBAF0E" w14:textId="77777777" w:rsidR="004B0E92" w:rsidRDefault="004B0E92" w:rsidP="004B0E92">
      <w:pPr>
        <w:pStyle w:val="Heading2"/>
      </w:pPr>
      <w:r>
        <w:br w:type="page"/>
      </w:r>
      <w:bookmarkStart w:id="23" w:name="_Toc3354970"/>
      <w:r w:rsidRPr="00F47BF4">
        <w:lastRenderedPageBreak/>
        <w:t>Critical Element 3.4 – Validity Based on Relation</w:t>
      </w:r>
      <w:r>
        <w:t>s to</w:t>
      </w:r>
      <w:r w:rsidRPr="00F47BF4">
        <w:t xml:space="preserve"> Other Variables</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033F4A1E"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41377D62"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8D1F584"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9C4856B"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329CEEDA" w14:textId="77777777" w:rsidTr="00385738">
        <w:tc>
          <w:tcPr>
            <w:tcW w:w="3618" w:type="dxa"/>
            <w:shd w:val="clear" w:color="auto" w:fill="auto"/>
          </w:tcPr>
          <w:p w14:paraId="2E0B1846" w14:textId="77777777" w:rsidR="004B0E92" w:rsidRPr="002313D0" w:rsidRDefault="004B0E92" w:rsidP="00385738">
            <w:pPr>
              <w:spacing w:before="80"/>
              <w:rPr>
                <w:sz w:val="20"/>
                <w:szCs w:val="20"/>
              </w:rPr>
            </w:pPr>
            <w:r w:rsidRPr="006447A4">
              <w:rPr>
                <w:sz w:val="20"/>
                <w:szCs w:val="20"/>
              </w:rPr>
              <w:t xml:space="preserve">The State has </w:t>
            </w:r>
            <w:r w:rsidRPr="006447A4">
              <w:rPr>
                <w:sz w:val="20"/>
              </w:rPr>
              <w:t>documented adequate validity</w:t>
            </w:r>
            <w:r w:rsidRPr="006447A4">
              <w:rPr>
                <w:b/>
                <w:sz w:val="20"/>
              </w:rPr>
              <w:t xml:space="preserve"> </w:t>
            </w:r>
            <w:r w:rsidRPr="006447A4">
              <w:rPr>
                <w:sz w:val="20"/>
              </w:rPr>
              <w:t xml:space="preserve">evidence </w:t>
            </w:r>
            <w:r w:rsidRPr="006447A4">
              <w:rPr>
                <w:sz w:val="20"/>
                <w:szCs w:val="20"/>
              </w:rPr>
              <w:t>that the State’s assessment scores are related as expected with other variables.</w:t>
            </w:r>
          </w:p>
          <w:p w14:paraId="7AAEF1D2" w14:textId="77777777" w:rsidR="004B0E92" w:rsidRPr="0077197F" w:rsidRDefault="004B0E92" w:rsidP="00385738">
            <w:pPr>
              <w:spacing w:before="80"/>
              <w:rPr>
                <w:sz w:val="20"/>
                <w:szCs w:val="20"/>
              </w:rPr>
            </w:pPr>
          </w:p>
          <w:p w14:paraId="24800591" w14:textId="77777777" w:rsidR="004B0E92" w:rsidRPr="0077197F" w:rsidRDefault="004B0E92" w:rsidP="00385738">
            <w:pPr>
              <w:spacing w:before="80"/>
              <w:rPr>
                <w:sz w:val="20"/>
                <w:szCs w:val="20"/>
              </w:rPr>
            </w:pPr>
          </w:p>
        </w:tc>
        <w:tc>
          <w:tcPr>
            <w:tcW w:w="4779" w:type="dxa"/>
            <w:shd w:val="clear" w:color="auto" w:fill="auto"/>
          </w:tcPr>
          <w:p w14:paraId="5E626450"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ELPT and MAAP Correlation Results 2017-2018</w:t>
            </w:r>
          </w:p>
          <w:p w14:paraId="7FAF4CB1"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(based on Spring 2018 ELP Assessment, MAAP</w:t>
            </w:r>
          </w:p>
          <w:p w14:paraId="031E1745"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ELA + HS English II, and MAAP Math + Algebra</w:t>
            </w:r>
          </w:p>
          <w:p w14:paraId="346F5403"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I)</w:t>
            </w:r>
          </w:p>
          <w:p w14:paraId="2DF6B56F" w14:textId="77777777" w:rsidR="004B0E92" w:rsidRDefault="004B0E92" w:rsidP="00385738">
            <w:pPr>
              <w:pStyle w:val="ListParagraph"/>
              <w:ind w:left="0"/>
              <w:rPr>
                <w:rFonts w:ascii="Wingdings-Regular" w:eastAsia="Wingdings-Regular" w:cs="Wingdings-Regular"/>
                <w:sz w:val="20"/>
                <w:szCs w:val="20"/>
              </w:rPr>
            </w:pPr>
          </w:p>
          <w:p w14:paraId="6C9B3299" w14:textId="77777777" w:rsidR="004B0E92" w:rsidRPr="0077197F" w:rsidRDefault="004B0E92" w:rsidP="00385738">
            <w:pPr>
              <w:pStyle w:val="ListParagraph"/>
              <w:ind w:left="0"/>
              <w:rPr>
                <w:sz w:val="20"/>
                <w:szCs w:val="20"/>
              </w:rPr>
            </w:pPr>
            <w:r>
              <w:rPr>
                <w:rFonts w:ascii="Wingdings-Regular" w:eastAsia="Wingdings-Regular" w:cs="Wingdings-Regular"/>
                <w:sz w:val="20"/>
                <w:szCs w:val="20"/>
              </w:rPr>
              <w:t xml:space="preserve"> </w:t>
            </w:r>
          </w:p>
        </w:tc>
        <w:tc>
          <w:tcPr>
            <w:tcW w:w="5013" w:type="dxa"/>
            <w:shd w:val="clear" w:color="auto" w:fill="auto"/>
          </w:tcPr>
          <w:p w14:paraId="18F0F82B" w14:textId="77777777" w:rsidR="004B0E92" w:rsidRPr="0096519B" w:rsidRDefault="004B0E92" w:rsidP="00385738">
            <w:pPr>
              <w:rPr>
                <w:sz w:val="20"/>
              </w:rPr>
            </w:pPr>
            <w:r>
              <w:rPr>
                <w:sz w:val="20"/>
              </w:rPr>
              <w:t>The s</w:t>
            </w:r>
            <w:r w:rsidRPr="0096519B">
              <w:rPr>
                <w:sz w:val="20"/>
              </w:rPr>
              <w:t xml:space="preserve">tate provided </w:t>
            </w:r>
            <w:r>
              <w:rPr>
                <w:sz w:val="20"/>
              </w:rPr>
              <w:t xml:space="preserve">separate </w:t>
            </w:r>
            <w:r w:rsidRPr="0096519B">
              <w:rPr>
                <w:sz w:val="20"/>
              </w:rPr>
              <w:t xml:space="preserve">frequency distributions on </w:t>
            </w:r>
            <w:r>
              <w:rPr>
                <w:sz w:val="20"/>
              </w:rPr>
              <w:t xml:space="preserve">the </w:t>
            </w:r>
            <w:r w:rsidRPr="0096519B">
              <w:rPr>
                <w:sz w:val="20"/>
              </w:rPr>
              <w:t>EL</w:t>
            </w:r>
            <w:r>
              <w:rPr>
                <w:sz w:val="20"/>
              </w:rPr>
              <w:t xml:space="preserve">P assessment </w:t>
            </w:r>
            <w:r w:rsidRPr="0096519B">
              <w:rPr>
                <w:sz w:val="20"/>
              </w:rPr>
              <w:t>and MAAP ELA and mathematics. There were no bivariate calculations showing within-student relationships between EL</w:t>
            </w:r>
            <w:r>
              <w:rPr>
                <w:sz w:val="20"/>
              </w:rPr>
              <w:t xml:space="preserve">PA and MAAP performance level, nor are any conclusions drawn.  </w:t>
            </w:r>
          </w:p>
          <w:p w14:paraId="6F6D4257" w14:textId="77777777" w:rsidR="004B0E92" w:rsidRPr="0096519B" w:rsidRDefault="004B0E92" w:rsidP="00385738">
            <w:pPr>
              <w:rPr>
                <w:sz w:val="20"/>
              </w:rPr>
            </w:pPr>
          </w:p>
          <w:p w14:paraId="4D96F0B3" w14:textId="77777777" w:rsidR="004B0E92" w:rsidRPr="0096519B" w:rsidRDefault="004B0E92" w:rsidP="00385738">
            <w:pPr>
              <w:pStyle w:val="ListParagraph"/>
              <w:ind w:left="0"/>
              <w:rPr>
                <w:color w:val="0070C0"/>
                <w:sz w:val="20"/>
              </w:rPr>
            </w:pPr>
            <w:r>
              <w:rPr>
                <w:sz w:val="20"/>
              </w:rPr>
              <w:t xml:space="preserve">In cooperation with the vendor in forming its research plan, the state should ensure </w:t>
            </w:r>
            <w:r w:rsidRPr="0096519B">
              <w:rPr>
                <w:sz w:val="20"/>
              </w:rPr>
              <w:t xml:space="preserve">sufficient specificity </w:t>
            </w:r>
            <w:r>
              <w:rPr>
                <w:sz w:val="20"/>
              </w:rPr>
              <w:t xml:space="preserve">so that </w:t>
            </w:r>
            <w:r w:rsidRPr="0096519B">
              <w:rPr>
                <w:sz w:val="20"/>
              </w:rPr>
              <w:t>appropriate evidence</w:t>
            </w:r>
            <w:r>
              <w:rPr>
                <w:sz w:val="20"/>
              </w:rPr>
              <w:t xml:space="preserve"> is produced</w:t>
            </w:r>
            <w:r w:rsidRPr="0096519B">
              <w:rPr>
                <w:sz w:val="20"/>
              </w:rPr>
              <w:t>.</w:t>
            </w:r>
          </w:p>
        </w:tc>
      </w:tr>
      <w:tr w:rsidR="004B0E92" w:rsidRPr="00532BBF" w14:paraId="63B322F0" w14:textId="77777777" w:rsidTr="00385738">
        <w:tc>
          <w:tcPr>
            <w:tcW w:w="13410" w:type="dxa"/>
            <w:gridSpan w:val="3"/>
            <w:shd w:val="clear" w:color="auto" w:fill="auto"/>
          </w:tcPr>
          <w:p w14:paraId="4983E348" w14:textId="77777777" w:rsidR="004B0E92" w:rsidRPr="00532BBF" w:rsidRDefault="004B0E92" w:rsidP="00385738">
            <w:pPr>
              <w:pStyle w:val="Heading4"/>
            </w:pPr>
            <w:r>
              <w:t xml:space="preserve">Section 3.4 </w:t>
            </w:r>
            <w:r w:rsidRPr="00532BBF">
              <w:t>Summary Statement</w:t>
            </w:r>
          </w:p>
        </w:tc>
      </w:tr>
      <w:tr w:rsidR="004B0E92" w:rsidRPr="00532BBF" w14:paraId="44A8EB29" w14:textId="77777777" w:rsidTr="00385738">
        <w:tc>
          <w:tcPr>
            <w:tcW w:w="13410" w:type="dxa"/>
            <w:gridSpan w:val="3"/>
            <w:shd w:val="clear" w:color="auto" w:fill="auto"/>
          </w:tcPr>
          <w:p w14:paraId="6A502C99" w14:textId="77777777" w:rsidR="004B0E92" w:rsidRPr="00532BBF" w:rsidRDefault="004B0E92" w:rsidP="00385738">
            <w:pPr>
              <w:rPr>
                <w:sz w:val="20"/>
                <w:szCs w:val="20"/>
              </w:rPr>
            </w:pPr>
            <w:r w:rsidRPr="00532BBF">
              <w:rPr>
                <w:sz w:val="20"/>
                <w:szCs w:val="20"/>
              </w:rPr>
              <w:t>___ No additional evidence is required or</w:t>
            </w:r>
          </w:p>
          <w:p w14:paraId="20CBDA80" w14:textId="77777777" w:rsidR="004B0E92" w:rsidRPr="00532BBF" w:rsidRDefault="004B0E92" w:rsidP="00385738">
            <w:pPr>
              <w:rPr>
                <w:sz w:val="20"/>
                <w:szCs w:val="20"/>
              </w:rPr>
            </w:pPr>
          </w:p>
          <w:p w14:paraId="478A3013" w14:textId="77777777" w:rsidR="004B0E92" w:rsidRPr="00532BBF" w:rsidRDefault="004B0E9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1B631EFF" w14:textId="77777777" w:rsidR="004B0E92" w:rsidRPr="00532BBF" w:rsidRDefault="004B0E92" w:rsidP="008D31CB">
            <w:pPr>
              <w:pStyle w:val="ListParagraph"/>
              <w:numPr>
                <w:ilvl w:val="0"/>
                <w:numId w:val="30"/>
              </w:numPr>
              <w:spacing w:before="80"/>
              <w:ind w:left="337" w:hanging="337"/>
              <w:rPr>
                <w:sz w:val="20"/>
                <w:szCs w:val="20"/>
              </w:rPr>
            </w:pPr>
            <w:r>
              <w:rPr>
                <w:sz w:val="20"/>
              </w:rPr>
              <w:t>A</w:t>
            </w:r>
            <w:r w:rsidRPr="0096519B">
              <w:rPr>
                <w:sz w:val="20"/>
              </w:rPr>
              <w:t>dequate validity</w:t>
            </w:r>
            <w:r w:rsidRPr="0096519B">
              <w:rPr>
                <w:b/>
                <w:sz w:val="20"/>
              </w:rPr>
              <w:t xml:space="preserve"> </w:t>
            </w:r>
            <w:r w:rsidRPr="0096519B">
              <w:rPr>
                <w:sz w:val="20"/>
              </w:rPr>
              <w:t xml:space="preserve">evidence </w:t>
            </w:r>
            <w:r w:rsidRPr="0096519B">
              <w:rPr>
                <w:sz w:val="20"/>
                <w:szCs w:val="20"/>
              </w:rPr>
              <w:t>that the State’s assessment scores are related a</w:t>
            </w:r>
            <w:r>
              <w:rPr>
                <w:sz w:val="20"/>
                <w:szCs w:val="20"/>
              </w:rPr>
              <w:t>s expected with other variables</w:t>
            </w:r>
          </w:p>
        </w:tc>
      </w:tr>
    </w:tbl>
    <w:p w14:paraId="1F526B86" w14:textId="77777777" w:rsidR="004B0E92" w:rsidRDefault="004B0E92" w:rsidP="004B0E92">
      <w:pPr>
        <w:rPr>
          <w:b/>
          <w:sz w:val="20"/>
        </w:rPr>
      </w:pPr>
    </w:p>
    <w:p w14:paraId="37F3AF2C" w14:textId="77777777" w:rsidR="004B0E92" w:rsidRDefault="004B0E92" w:rsidP="004B0E92">
      <w:pPr>
        <w:rPr>
          <w:b/>
          <w:sz w:val="20"/>
        </w:rPr>
      </w:pPr>
    </w:p>
    <w:p w14:paraId="1A940D5E" w14:textId="77777777" w:rsidR="004B0E92" w:rsidRPr="008A4204" w:rsidRDefault="004B0E92" w:rsidP="004B0E92">
      <w:pPr>
        <w:pStyle w:val="Heading1"/>
      </w:pPr>
      <w:r>
        <w:br w:type="page"/>
      </w:r>
      <w:bookmarkStart w:id="24" w:name="_Toc3354971"/>
      <w:r w:rsidRPr="008A4204">
        <w:lastRenderedPageBreak/>
        <w:t>SECTION 4: TECHNICA</w:t>
      </w:r>
      <w:bookmarkStart w:id="25" w:name="section4"/>
      <w:bookmarkEnd w:id="25"/>
      <w:r w:rsidRPr="008A4204">
        <w:t>L QUALITY – OTHER</w:t>
      </w:r>
      <w:bookmarkEnd w:id="24"/>
      <w:r w:rsidRPr="008A4204">
        <w:t xml:space="preserve"> </w:t>
      </w:r>
      <w:r w:rsidRPr="008A4204">
        <w:tab/>
      </w:r>
    </w:p>
    <w:p w14:paraId="3CD19595" w14:textId="77777777" w:rsidR="004B0E92" w:rsidRDefault="004B0E92" w:rsidP="004B0E92">
      <w:pPr>
        <w:pStyle w:val="Heading6"/>
      </w:pPr>
    </w:p>
    <w:p w14:paraId="4F644514" w14:textId="77777777" w:rsidR="004B0E92" w:rsidRPr="00F47BF4" w:rsidRDefault="004B0E92" w:rsidP="004B0E92">
      <w:pPr>
        <w:pStyle w:val="Heading2"/>
      </w:pPr>
      <w:bookmarkStart w:id="26" w:name="_Toc3354972"/>
      <w:r w:rsidRPr="00F47BF4">
        <w:t>Critical Element 4.1 – Reliability</w:t>
      </w:r>
      <w:bookmarkEnd w:id="2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7D0F8275"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4BAE2D6"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09D0C07"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3E32BAE"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72E96ED4" w14:textId="77777777" w:rsidTr="00385738">
        <w:tc>
          <w:tcPr>
            <w:tcW w:w="3618" w:type="dxa"/>
            <w:shd w:val="clear" w:color="auto" w:fill="auto"/>
          </w:tcPr>
          <w:p w14:paraId="570CB0F2" w14:textId="77777777" w:rsidR="004B0E92" w:rsidRPr="002313D0" w:rsidRDefault="004B0E92" w:rsidP="00385738">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1CED2A3A" w14:textId="77777777" w:rsidR="004B0E92" w:rsidRPr="002652ED" w:rsidRDefault="004B0E92" w:rsidP="008D31CB">
            <w:pPr>
              <w:numPr>
                <w:ilvl w:val="0"/>
                <w:numId w:val="12"/>
              </w:numPr>
              <w:rPr>
                <w:sz w:val="20"/>
                <w:szCs w:val="20"/>
              </w:rPr>
            </w:pPr>
            <w:r w:rsidRPr="002652ED">
              <w:rPr>
                <w:sz w:val="20"/>
                <w:szCs w:val="20"/>
              </w:rPr>
              <w:t>Test reliability of the State’s assessments estimated for its student population (</w:t>
            </w:r>
            <w:r w:rsidRPr="002652ED">
              <w:rPr>
                <w:b/>
                <w:i/>
                <w:sz w:val="20"/>
                <w:szCs w:val="20"/>
              </w:rPr>
              <w:t>for ELP assessments, including any domain or component sub-tests, as applicable</w:t>
            </w:r>
            <w:r w:rsidRPr="002652ED">
              <w:rPr>
                <w:b/>
                <w:sz w:val="20"/>
                <w:szCs w:val="20"/>
              </w:rPr>
              <w:t>)</w:t>
            </w:r>
            <w:r w:rsidRPr="002652ED">
              <w:rPr>
                <w:sz w:val="20"/>
                <w:szCs w:val="20"/>
              </w:rPr>
              <w:t>;</w:t>
            </w:r>
          </w:p>
          <w:p w14:paraId="5179C5A4" w14:textId="77777777" w:rsidR="004B0E92" w:rsidRPr="002652ED" w:rsidRDefault="004B0E92" w:rsidP="008D31CB">
            <w:pPr>
              <w:numPr>
                <w:ilvl w:val="0"/>
                <w:numId w:val="12"/>
              </w:numPr>
              <w:rPr>
                <w:sz w:val="20"/>
                <w:szCs w:val="20"/>
              </w:rPr>
            </w:pPr>
            <w:r w:rsidRPr="002652ED">
              <w:rPr>
                <w:sz w:val="20"/>
                <w:szCs w:val="20"/>
              </w:rPr>
              <w:t>Overall and conditional standard error of measurement of the State’s assessments, including any domain or component sub-tests, as applicable;</w:t>
            </w:r>
          </w:p>
          <w:p w14:paraId="47A004DC" w14:textId="77777777" w:rsidR="004B0E92" w:rsidRPr="002652ED" w:rsidRDefault="004B0E92" w:rsidP="008D31CB">
            <w:pPr>
              <w:numPr>
                <w:ilvl w:val="0"/>
                <w:numId w:val="12"/>
              </w:numPr>
              <w:rPr>
                <w:sz w:val="20"/>
                <w:szCs w:val="20"/>
              </w:rPr>
            </w:pPr>
            <w:r w:rsidRPr="002652ED">
              <w:rPr>
                <w:sz w:val="20"/>
                <w:szCs w:val="20"/>
              </w:rPr>
              <w:t>Consistency and accuracy of estimates in categorical classification decisions for the cut scores, achievement levels or proficiency levels based on the assessment results;</w:t>
            </w:r>
          </w:p>
          <w:p w14:paraId="60E7556B" w14:textId="77777777" w:rsidR="004B0E92" w:rsidRPr="0077197F" w:rsidRDefault="004B0E92" w:rsidP="008D31CB">
            <w:pPr>
              <w:numPr>
                <w:ilvl w:val="0"/>
                <w:numId w:val="12"/>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25C4E07C" w14:textId="77777777" w:rsidR="004B0E92" w:rsidRDefault="004B0E92" w:rsidP="00385738">
            <w:pPr>
              <w:autoSpaceDE w:val="0"/>
              <w:autoSpaceDN w:val="0"/>
              <w:adjustRightInd w:val="0"/>
              <w:rPr>
                <w:rFonts w:eastAsiaTheme="minorHAnsi"/>
                <w:sz w:val="20"/>
                <w:szCs w:val="20"/>
              </w:rPr>
            </w:pPr>
            <w:r>
              <w:rPr>
                <w:rFonts w:eastAsiaTheme="minorHAnsi"/>
                <w:sz w:val="20"/>
                <w:szCs w:val="20"/>
              </w:rPr>
              <w:lastRenderedPageBreak/>
              <w:t>DRC LAS Links® Second Edition, Forms</w:t>
            </w:r>
          </w:p>
          <w:p w14:paraId="0CE4BD22"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C and D Technical Manual, 2018,</w:t>
            </w:r>
          </w:p>
          <w:p w14:paraId="3E386ACA"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(Chapter 4, p. 46-52), (Chapter 6, p. 61-</w:t>
            </w:r>
          </w:p>
          <w:p w14:paraId="15658C05"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76), (Chapter 7, p. 77-95), Appendix C</w:t>
            </w:r>
          </w:p>
          <w:p w14:paraId="73B95DFA" w14:textId="77777777" w:rsidR="004B0E92" w:rsidRDefault="004B0E92" w:rsidP="00385738">
            <w:pPr>
              <w:pStyle w:val="ListParagraph"/>
              <w:ind w:left="0"/>
              <w:rPr>
                <w:rFonts w:eastAsiaTheme="minorHAnsi"/>
                <w:sz w:val="20"/>
                <w:szCs w:val="20"/>
              </w:rPr>
            </w:pPr>
            <w:r>
              <w:rPr>
                <w:rFonts w:eastAsiaTheme="minorHAnsi"/>
                <w:sz w:val="20"/>
                <w:szCs w:val="20"/>
              </w:rPr>
              <w:t>(pgs. 110-113)</w:t>
            </w:r>
          </w:p>
          <w:p w14:paraId="29572892" w14:textId="77777777" w:rsidR="004B0E92" w:rsidRDefault="004B0E92" w:rsidP="00385738">
            <w:pPr>
              <w:rPr>
                <w:rFonts w:eastAsiaTheme="minorHAnsi"/>
                <w:sz w:val="20"/>
                <w:szCs w:val="20"/>
              </w:rPr>
            </w:pPr>
          </w:p>
          <w:p w14:paraId="0FBC407C" w14:textId="77777777" w:rsidR="004B0E92" w:rsidRPr="0077197F" w:rsidRDefault="004B0E92" w:rsidP="00385738">
            <w:pPr>
              <w:pStyle w:val="ListParagraph"/>
              <w:ind w:left="0"/>
              <w:rPr>
                <w:sz w:val="20"/>
                <w:szCs w:val="20"/>
              </w:rPr>
            </w:pPr>
          </w:p>
        </w:tc>
        <w:tc>
          <w:tcPr>
            <w:tcW w:w="5013" w:type="dxa"/>
            <w:shd w:val="clear" w:color="auto" w:fill="auto"/>
          </w:tcPr>
          <w:p w14:paraId="4402878C" w14:textId="77777777" w:rsidR="004B0E92" w:rsidRPr="00866667" w:rsidRDefault="004B0E92" w:rsidP="00385738">
            <w:pPr>
              <w:rPr>
                <w:sz w:val="20"/>
                <w:szCs w:val="20"/>
              </w:rPr>
            </w:pPr>
            <w:r>
              <w:rPr>
                <w:rFonts w:eastAsiaTheme="minorHAnsi"/>
                <w:sz w:val="20"/>
                <w:szCs w:val="20"/>
              </w:rPr>
              <w:t>The v</w:t>
            </w:r>
            <w:r w:rsidRPr="004F6DDF">
              <w:rPr>
                <w:rFonts w:eastAsiaTheme="minorHAnsi"/>
                <w:sz w:val="20"/>
                <w:szCs w:val="20"/>
              </w:rPr>
              <w:t>endor’s research agenda for 2019 includes form reliability and classification consistency.</w:t>
            </w:r>
            <w:r>
              <w:rPr>
                <w:sz w:val="20"/>
                <w:szCs w:val="20"/>
              </w:rPr>
              <w:t xml:space="preserve"> T</w:t>
            </w:r>
            <w:r w:rsidRPr="00866667">
              <w:rPr>
                <w:sz w:val="20"/>
                <w:szCs w:val="20"/>
              </w:rPr>
              <w:t xml:space="preserve">he </w:t>
            </w:r>
            <w:r>
              <w:rPr>
                <w:sz w:val="20"/>
                <w:szCs w:val="20"/>
              </w:rPr>
              <w:t xml:space="preserve">statistics </w:t>
            </w:r>
            <w:r w:rsidRPr="00866667">
              <w:rPr>
                <w:sz w:val="20"/>
                <w:szCs w:val="20"/>
              </w:rPr>
              <w:t>provided are dated. There are no data for MS specifically</w:t>
            </w:r>
            <w:r>
              <w:rPr>
                <w:sz w:val="20"/>
                <w:szCs w:val="20"/>
              </w:rPr>
              <w:t>, however, which is a requirement</w:t>
            </w:r>
            <w:r w:rsidRPr="00866667">
              <w:rPr>
                <w:sz w:val="20"/>
                <w:szCs w:val="20"/>
              </w:rPr>
              <w:t xml:space="preserve">. </w:t>
            </w:r>
            <w:r>
              <w:rPr>
                <w:sz w:val="20"/>
                <w:szCs w:val="20"/>
              </w:rPr>
              <w:t xml:space="preserve">The data for each state using LAS Links should be included in the vendor’s research agenda. </w:t>
            </w:r>
          </w:p>
          <w:p w14:paraId="3016F009" w14:textId="77777777" w:rsidR="004B0E92" w:rsidRPr="004F6DDF" w:rsidRDefault="004B0E92" w:rsidP="00385738">
            <w:pPr>
              <w:autoSpaceDE w:val="0"/>
              <w:autoSpaceDN w:val="0"/>
              <w:adjustRightInd w:val="0"/>
              <w:rPr>
                <w:rFonts w:eastAsiaTheme="minorHAnsi"/>
                <w:sz w:val="20"/>
                <w:szCs w:val="20"/>
              </w:rPr>
            </w:pPr>
          </w:p>
          <w:p w14:paraId="7B034B81" w14:textId="77777777" w:rsidR="004B0E92" w:rsidRPr="004F6DDF" w:rsidRDefault="004B0E92" w:rsidP="00385738">
            <w:pPr>
              <w:rPr>
                <w:sz w:val="20"/>
              </w:rPr>
            </w:pPr>
            <w:r w:rsidRPr="004F6DDF">
              <w:rPr>
                <w:sz w:val="20"/>
              </w:rPr>
              <w:t xml:space="preserve">The technical manual provides evidence of internal structure of LAS Links as coefficient alpha and SEM for raw and scale scores for reading, writing, speaking, listening, SEM for each domain’s TCC, and the CSEM associated with each domain scale score (appendix E). There is evidence of interrater agreement for the human-scored sections of reading and writing. </w:t>
            </w:r>
          </w:p>
          <w:p w14:paraId="48748395" w14:textId="77777777" w:rsidR="004B0E92" w:rsidRPr="004F6DDF" w:rsidRDefault="004B0E92" w:rsidP="00385738">
            <w:pPr>
              <w:rPr>
                <w:sz w:val="20"/>
              </w:rPr>
            </w:pPr>
          </w:p>
          <w:p w14:paraId="38E8BE60" w14:textId="77777777" w:rsidR="004B0E92" w:rsidRDefault="004B0E92" w:rsidP="00385738">
            <w:pPr>
              <w:autoSpaceDE w:val="0"/>
              <w:autoSpaceDN w:val="0"/>
              <w:adjustRightInd w:val="0"/>
              <w:rPr>
                <w:sz w:val="20"/>
              </w:rPr>
            </w:pPr>
            <w:r w:rsidRPr="004F6DDF">
              <w:rPr>
                <w:sz w:val="20"/>
              </w:rPr>
              <w:t xml:space="preserve">There is </w:t>
            </w:r>
            <w:r>
              <w:rPr>
                <w:sz w:val="20"/>
              </w:rPr>
              <w:t xml:space="preserve">general </w:t>
            </w:r>
            <w:r w:rsidRPr="004F6DDF">
              <w:rPr>
                <w:sz w:val="20"/>
              </w:rPr>
              <w:t xml:space="preserve">evidence for reliability of domain scores and classification accuracy for performance levels in each domain. </w:t>
            </w:r>
            <w:r>
              <w:rPr>
                <w:sz w:val="20"/>
              </w:rPr>
              <w:t>However, p</w:t>
            </w:r>
            <w:r w:rsidRPr="004F6DDF">
              <w:rPr>
                <w:sz w:val="20"/>
              </w:rPr>
              <w:t xml:space="preserve">eers did not find </w:t>
            </w:r>
            <w:r>
              <w:rPr>
                <w:sz w:val="20"/>
              </w:rPr>
              <w:t xml:space="preserve">empirical </w:t>
            </w:r>
            <w:r w:rsidRPr="004F6DDF">
              <w:rPr>
                <w:sz w:val="20"/>
              </w:rPr>
              <w:t>evidence for reliability or classification consistency of composite scales and their performance levels, or evidence for “each student group.”</w:t>
            </w:r>
            <w:r>
              <w:rPr>
                <w:sz w:val="20"/>
              </w:rPr>
              <w:t xml:space="preserve"> Peers recommend that the state calculate subgroup reliabilities as appropriate for the population (e.g., by language group, disability status, or recency of arrival in the U.S., provided there are sufficient n-sizes).</w:t>
            </w:r>
          </w:p>
          <w:p w14:paraId="53DC3B25" w14:textId="77777777" w:rsidR="004B0E92" w:rsidRDefault="004B0E92" w:rsidP="00385738">
            <w:pPr>
              <w:autoSpaceDE w:val="0"/>
              <w:autoSpaceDN w:val="0"/>
              <w:adjustRightInd w:val="0"/>
              <w:rPr>
                <w:color w:val="0070C0"/>
                <w:sz w:val="20"/>
              </w:rPr>
            </w:pPr>
          </w:p>
          <w:p w14:paraId="42D5E537" w14:textId="77777777" w:rsidR="004B0E92" w:rsidRPr="00866667" w:rsidRDefault="004B0E92" w:rsidP="00385738">
            <w:pPr>
              <w:widowControl w:val="0"/>
              <w:autoSpaceDE w:val="0"/>
              <w:autoSpaceDN w:val="0"/>
              <w:adjustRightInd w:val="0"/>
              <w:rPr>
                <w:sz w:val="20"/>
                <w:szCs w:val="20"/>
              </w:rPr>
            </w:pPr>
            <w:r w:rsidRPr="00866667">
              <w:rPr>
                <w:sz w:val="20"/>
                <w:szCs w:val="20"/>
              </w:rPr>
              <w:t xml:space="preserve">For </w:t>
            </w:r>
            <w:r>
              <w:rPr>
                <w:sz w:val="20"/>
                <w:szCs w:val="20"/>
              </w:rPr>
              <w:t>the state, t</w:t>
            </w:r>
            <w:r w:rsidRPr="00866667">
              <w:rPr>
                <w:sz w:val="20"/>
                <w:szCs w:val="20"/>
              </w:rPr>
              <w:t xml:space="preserve">he </w:t>
            </w:r>
            <w:r>
              <w:rPr>
                <w:sz w:val="20"/>
                <w:szCs w:val="20"/>
              </w:rPr>
              <w:t xml:space="preserve">exit criteria is set at the cut between levels 3 and 4, so it would be </w:t>
            </w:r>
            <w:r w:rsidRPr="00866667">
              <w:rPr>
                <w:sz w:val="20"/>
                <w:szCs w:val="20"/>
              </w:rPr>
              <w:t>important</w:t>
            </w:r>
            <w:r>
              <w:rPr>
                <w:sz w:val="20"/>
                <w:szCs w:val="20"/>
              </w:rPr>
              <w:t xml:space="preserve"> to specifically include sufficient defense of the reliabilities and classification accuracy at those points on the scale across grades/grade spans</w:t>
            </w:r>
            <w:r w:rsidRPr="00866667">
              <w:rPr>
                <w:sz w:val="20"/>
                <w:szCs w:val="20"/>
              </w:rPr>
              <w:t xml:space="preserve">. </w:t>
            </w:r>
          </w:p>
          <w:p w14:paraId="22C7429A" w14:textId="77777777" w:rsidR="004B0E92" w:rsidRPr="00866667" w:rsidRDefault="004B0E92" w:rsidP="00385738">
            <w:pPr>
              <w:rPr>
                <w:sz w:val="20"/>
                <w:szCs w:val="20"/>
              </w:rPr>
            </w:pPr>
          </w:p>
          <w:p w14:paraId="5152DCB2" w14:textId="77777777" w:rsidR="004B0E92" w:rsidRPr="00AA1D4E" w:rsidRDefault="004B0E92" w:rsidP="00385738">
            <w:pPr>
              <w:autoSpaceDE w:val="0"/>
              <w:autoSpaceDN w:val="0"/>
              <w:adjustRightInd w:val="0"/>
              <w:rPr>
                <w:sz w:val="20"/>
                <w:szCs w:val="20"/>
              </w:rPr>
            </w:pPr>
            <w:r>
              <w:rPr>
                <w:sz w:val="20"/>
                <w:szCs w:val="20"/>
              </w:rPr>
              <w:t>There are five</w:t>
            </w:r>
            <w:r w:rsidRPr="00866667">
              <w:rPr>
                <w:sz w:val="20"/>
                <w:szCs w:val="20"/>
              </w:rPr>
              <w:t xml:space="preserve"> performance levels, but the</w:t>
            </w:r>
            <w:r>
              <w:rPr>
                <w:sz w:val="20"/>
                <w:szCs w:val="20"/>
              </w:rPr>
              <w:t xml:space="preserve"> raw</w:t>
            </w:r>
            <w:r w:rsidRPr="00866667">
              <w:rPr>
                <w:sz w:val="20"/>
                <w:szCs w:val="20"/>
              </w:rPr>
              <w:t xml:space="preserve"> score points available range from a low of 20 in listening to a high of 41 </w:t>
            </w:r>
            <w:r w:rsidRPr="00866667">
              <w:rPr>
                <w:sz w:val="20"/>
                <w:szCs w:val="20"/>
              </w:rPr>
              <w:lastRenderedPageBreak/>
              <w:t>in speaking (Appendix C of the Technical Manual)</w:t>
            </w:r>
            <w:r>
              <w:rPr>
                <w:sz w:val="20"/>
                <w:szCs w:val="20"/>
              </w:rPr>
              <w:t xml:space="preserve">, consequently, it is unlikely that </w:t>
            </w:r>
            <w:r w:rsidRPr="00866667">
              <w:rPr>
                <w:sz w:val="20"/>
                <w:szCs w:val="20"/>
              </w:rPr>
              <w:t>the test is sufficiently long/precise enough t</w:t>
            </w:r>
            <w:r>
              <w:rPr>
                <w:sz w:val="20"/>
                <w:szCs w:val="20"/>
              </w:rPr>
              <w:t>o support five achievement levels, especially for listening.</w:t>
            </w:r>
          </w:p>
        </w:tc>
      </w:tr>
      <w:tr w:rsidR="004B0E92" w:rsidRPr="00532BBF" w14:paraId="406D6C97" w14:textId="77777777" w:rsidTr="00385738">
        <w:tc>
          <w:tcPr>
            <w:tcW w:w="13410" w:type="dxa"/>
            <w:gridSpan w:val="3"/>
            <w:shd w:val="clear" w:color="auto" w:fill="auto"/>
          </w:tcPr>
          <w:p w14:paraId="004DB6E0" w14:textId="77777777" w:rsidR="004B0E92" w:rsidRPr="00532BBF" w:rsidRDefault="004B0E92" w:rsidP="00385738">
            <w:pPr>
              <w:pStyle w:val="Heading4"/>
            </w:pPr>
            <w:r>
              <w:lastRenderedPageBreak/>
              <w:t xml:space="preserve">Section 4.1 </w:t>
            </w:r>
            <w:r w:rsidRPr="00532BBF">
              <w:t>Summary Statement</w:t>
            </w:r>
          </w:p>
        </w:tc>
      </w:tr>
      <w:tr w:rsidR="004B0E92" w:rsidRPr="00532BBF" w14:paraId="1458F739" w14:textId="77777777" w:rsidTr="00385738">
        <w:tc>
          <w:tcPr>
            <w:tcW w:w="13410" w:type="dxa"/>
            <w:gridSpan w:val="3"/>
            <w:shd w:val="clear" w:color="auto" w:fill="auto"/>
          </w:tcPr>
          <w:p w14:paraId="40EBC60E" w14:textId="77777777" w:rsidR="004B0E92" w:rsidRPr="00532BBF" w:rsidRDefault="004B0E92" w:rsidP="00385738">
            <w:pPr>
              <w:rPr>
                <w:sz w:val="20"/>
                <w:szCs w:val="20"/>
              </w:rPr>
            </w:pPr>
            <w:r w:rsidRPr="00532BBF">
              <w:rPr>
                <w:sz w:val="20"/>
                <w:szCs w:val="20"/>
              </w:rPr>
              <w:t>___ No additional evidence is required or</w:t>
            </w:r>
          </w:p>
          <w:p w14:paraId="3019F036" w14:textId="77777777" w:rsidR="004B0E92" w:rsidRPr="00532BBF" w:rsidRDefault="004B0E92" w:rsidP="00385738">
            <w:pPr>
              <w:rPr>
                <w:sz w:val="20"/>
                <w:szCs w:val="20"/>
              </w:rPr>
            </w:pPr>
          </w:p>
          <w:p w14:paraId="6E211B62" w14:textId="77777777" w:rsidR="004B0E92" w:rsidRPr="00532BBF" w:rsidRDefault="004B0E9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072481A8" w14:textId="77777777" w:rsidR="004B0E92" w:rsidRPr="002652ED" w:rsidRDefault="004B0E92" w:rsidP="008D31CB">
            <w:pPr>
              <w:numPr>
                <w:ilvl w:val="0"/>
                <w:numId w:val="12"/>
              </w:numPr>
              <w:rPr>
                <w:sz w:val="20"/>
                <w:szCs w:val="20"/>
              </w:rPr>
            </w:pPr>
            <w:r>
              <w:rPr>
                <w:sz w:val="20"/>
                <w:szCs w:val="20"/>
              </w:rPr>
              <w:t>Recent and empirical evidence of t</w:t>
            </w:r>
            <w:r w:rsidRPr="002652ED">
              <w:rPr>
                <w:sz w:val="20"/>
                <w:szCs w:val="20"/>
              </w:rPr>
              <w:t>est reliability of the State’s assessments estimated for its student population</w:t>
            </w:r>
            <w:r>
              <w:rPr>
                <w:sz w:val="20"/>
                <w:szCs w:val="20"/>
              </w:rPr>
              <w:t xml:space="preserve">, including subgroups, as applicable, and by </w:t>
            </w:r>
            <w:r w:rsidRPr="00AA1D4E">
              <w:rPr>
                <w:sz w:val="20"/>
                <w:szCs w:val="20"/>
              </w:rPr>
              <w:t>domain</w:t>
            </w:r>
            <w:r w:rsidRPr="002652ED">
              <w:rPr>
                <w:sz w:val="20"/>
                <w:szCs w:val="20"/>
              </w:rPr>
              <w:t>;</w:t>
            </w:r>
          </w:p>
          <w:p w14:paraId="1E8EB1AC" w14:textId="77777777" w:rsidR="004B0E92" w:rsidRPr="002652ED" w:rsidRDefault="004B0E92" w:rsidP="008D31CB">
            <w:pPr>
              <w:numPr>
                <w:ilvl w:val="0"/>
                <w:numId w:val="12"/>
              </w:numPr>
              <w:rPr>
                <w:sz w:val="20"/>
                <w:szCs w:val="20"/>
              </w:rPr>
            </w:pPr>
            <w:r>
              <w:rPr>
                <w:sz w:val="20"/>
                <w:szCs w:val="20"/>
              </w:rPr>
              <w:t>Recent and empirical evidence of o</w:t>
            </w:r>
            <w:r w:rsidRPr="002652ED">
              <w:rPr>
                <w:sz w:val="20"/>
                <w:szCs w:val="20"/>
              </w:rPr>
              <w:t>verall and conditional standard error of measurement of the State’s assessments, including any domain or component sub-tests, as applicable;</w:t>
            </w:r>
          </w:p>
          <w:p w14:paraId="6342CA54" w14:textId="77777777" w:rsidR="004B0E92" w:rsidRPr="00532BBF" w:rsidRDefault="004B0E92" w:rsidP="008D31CB">
            <w:pPr>
              <w:numPr>
                <w:ilvl w:val="0"/>
                <w:numId w:val="12"/>
              </w:numPr>
              <w:rPr>
                <w:sz w:val="20"/>
                <w:szCs w:val="20"/>
              </w:rPr>
            </w:pPr>
            <w:r>
              <w:rPr>
                <w:sz w:val="20"/>
                <w:szCs w:val="20"/>
              </w:rPr>
              <w:t>Recent and empirical evidence of c</w:t>
            </w:r>
            <w:r w:rsidRPr="002652ED">
              <w:rPr>
                <w:sz w:val="20"/>
                <w:szCs w:val="20"/>
              </w:rPr>
              <w:t>onsistency and accuracy of estimates in categorical classificatio</w:t>
            </w:r>
            <w:r>
              <w:rPr>
                <w:sz w:val="20"/>
                <w:szCs w:val="20"/>
              </w:rPr>
              <w:t xml:space="preserve">n decisions for the cut scores and </w:t>
            </w:r>
            <w:r w:rsidRPr="002652ED">
              <w:rPr>
                <w:sz w:val="20"/>
                <w:szCs w:val="20"/>
              </w:rPr>
              <w:t>proficiency levels based on the assessment results</w:t>
            </w:r>
          </w:p>
        </w:tc>
      </w:tr>
    </w:tbl>
    <w:p w14:paraId="3410FF1A" w14:textId="77777777" w:rsidR="004B0E92" w:rsidRDefault="004B0E92" w:rsidP="004B0E92">
      <w:pPr>
        <w:pStyle w:val="Heading6"/>
      </w:pPr>
    </w:p>
    <w:p w14:paraId="0B176788" w14:textId="77777777" w:rsidR="004B0E92" w:rsidRDefault="004B0E92" w:rsidP="004B0E92">
      <w:pPr>
        <w:pStyle w:val="Heading2"/>
      </w:pPr>
      <w:r>
        <w:br w:type="page"/>
      </w:r>
      <w:bookmarkStart w:id="27" w:name="_Toc3354973"/>
      <w:r w:rsidRPr="00F47BF4">
        <w:lastRenderedPageBreak/>
        <w:t>Critical Element 4.2 – Fairness and Accessibility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2C91CF20"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1BEB9324"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778918A"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7741D39"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6494B9B3" w14:textId="77777777" w:rsidTr="00385738">
        <w:tc>
          <w:tcPr>
            <w:tcW w:w="3618" w:type="dxa"/>
            <w:shd w:val="clear" w:color="auto" w:fill="auto"/>
          </w:tcPr>
          <w:p w14:paraId="70C3DA09" w14:textId="77777777" w:rsidR="004B0E92" w:rsidRPr="003426C7" w:rsidRDefault="004B0E92" w:rsidP="00385738">
            <w:pPr>
              <w:spacing w:before="80"/>
              <w:rPr>
                <w:sz w:val="20"/>
              </w:rPr>
            </w:pPr>
            <w:r w:rsidRPr="003426C7">
              <w:rPr>
                <w:b/>
                <w:i/>
                <w:sz w:val="20"/>
              </w:rPr>
              <w:t xml:space="preserve">For all State ELP assessments, </w:t>
            </w:r>
            <w:r w:rsidRPr="003426C7">
              <w:rPr>
                <w:sz w:val="20"/>
              </w:rPr>
              <w:t>assessments should be developed, to the extent practicable, using the principles of universal design for learning (UDL) (see definition</w:t>
            </w:r>
            <w:r w:rsidRPr="003426C7">
              <w:rPr>
                <w:rStyle w:val="FootnoteReference"/>
                <w:sz w:val="20"/>
              </w:rPr>
              <w:footnoteReference w:id="2"/>
            </w:r>
            <w:r w:rsidRPr="003426C7">
              <w:rPr>
                <w:sz w:val="20"/>
              </w:rPr>
              <w:t xml:space="preserve">). </w:t>
            </w:r>
          </w:p>
          <w:p w14:paraId="24907C30" w14:textId="77777777" w:rsidR="004B0E92" w:rsidRPr="003426C7" w:rsidRDefault="004B0E92" w:rsidP="00385738">
            <w:pPr>
              <w:rPr>
                <w:b/>
                <w:sz w:val="20"/>
                <w:szCs w:val="20"/>
                <w:u w:val="single"/>
              </w:rPr>
            </w:pPr>
          </w:p>
          <w:p w14:paraId="55F90D16" w14:textId="77777777" w:rsidR="004B0E92" w:rsidRPr="003426C7" w:rsidRDefault="004B0E92" w:rsidP="00385738">
            <w:pPr>
              <w:rPr>
                <w:sz w:val="20"/>
              </w:rPr>
            </w:pPr>
          </w:p>
          <w:p w14:paraId="4E77E20D" w14:textId="77777777" w:rsidR="004B0E92" w:rsidRPr="002313D0" w:rsidRDefault="004B0E92" w:rsidP="00385738">
            <w:pPr>
              <w:rPr>
                <w:sz w:val="20"/>
              </w:rPr>
            </w:pPr>
            <w:r w:rsidRPr="003426C7">
              <w:rPr>
                <w:b/>
                <w:i/>
                <w:sz w:val="20"/>
              </w:rPr>
              <w:t>For ELP assessments,</w:t>
            </w:r>
            <w:r w:rsidRPr="003426C7">
              <w:rPr>
                <w:sz w:val="20"/>
              </w:rPr>
              <w:t xml:space="preserve"> the State has taken reasonable and appropriate steps to ensure that its assessments are accessible to all EL students and fair across student groups, including ELs with disabilities, in their design, development, and analysis.</w:t>
            </w:r>
            <w:r w:rsidRPr="002313D0">
              <w:rPr>
                <w:sz w:val="20"/>
              </w:rPr>
              <w:t xml:space="preserve"> </w:t>
            </w:r>
          </w:p>
          <w:p w14:paraId="6827FD7D" w14:textId="77777777" w:rsidR="004B0E92" w:rsidRPr="0077197F" w:rsidRDefault="004B0E92" w:rsidP="00385738">
            <w:pPr>
              <w:rPr>
                <w:sz w:val="20"/>
                <w:szCs w:val="20"/>
              </w:rPr>
            </w:pPr>
          </w:p>
        </w:tc>
        <w:tc>
          <w:tcPr>
            <w:tcW w:w="4779" w:type="dxa"/>
            <w:shd w:val="clear" w:color="auto" w:fill="auto"/>
          </w:tcPr>
          <w:p w14:paraId="61348C69"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DRC LAS Links® Second Edition,</w:t>
            </w:r>
          </w:p>
          <w:p w14:paraId="37FB767B"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Forms C and D Technical Manual,</w:t>
            </w:r>
          </w:p>
          <w:p w14:paraId="44FD1A76" w14:textId="77777777" w:rsidR="004B0E92" w:rsidRDefault="004B0E92" w:rsidP="00385738">
            <w:pPr>
              <w:rPr>
                <w:rFonts w:eastAsiaTheme="minorHAnsi"/>
                <w:sz w:val="20"/>
                <w:szCs w:val="20"/>
              </w:rPr>
            </w:pPr>
            <w:r>
              <w:rPr>
                <w:rFonts w:eastAsiaTheme="minorHAnsi"/>
                <w:sz w:val="20"/>
                <w:szCs w:val="20"/>
              </w:rPr>
              <w:t>2018, pgs. 26, 34, 94-96, 102,</w:t>
            </w:r>
          </w:p>
          <w:p w14:paraId="3CECE92C" w14:textId="77777777" w:rsidR="004B0E92" w:rsidRDefault="004B0E92" w:rsidP="00385738">
            <w:pPr>
              <w:rPr>
                <w:rFonts w:eastAsiaTheme="minorHAnsi"/>
                <w:sz w:val="20"/>
                <w:szCs w:val="20"/>
              </w:rPr>
            </w:pPr>
          </w:p>
          <w:p w14:paraId="67BA21B0" w14:textId="77777777" w:rsidR="004B0E92" w:rsidRPr="0077197F" w:rsidRDefault="004B0E92" w:rsidP="00385738">
            <w:pPr>
              <w:rPr>
                <w:sz w:val="20"/>
                <w:szCs w:val="20"/>
              </w:rPr>
            </w:pPr>
          </w:p>
        </w:tc>
        <w:tc>
          <w:tcPr>
            <w:tcW w:w="5013" w:type="dxa"/>
            <w:shd w:val="clear" w:color="auto" w:fill="auto"/>
          </w:tcPr>
          <w:p w14:paraId="6AAB3B92" w14:textId="77777777" w:rsidR="004B0E92" w:rsidRPr="00842009" w:rsidRDefault="004B0E92" w:rsidP="00385738">
            <w:pPr>
              <w:rPr>
                <w:sz w:val="20"/>
                <w:szCs w:val="20"/>
              </w:rPr>
            </w:pPr>
            <w:r>
              <w:rPr>
                <w:sz w:val="20"/>
                <w:szCs w:val="20"/>
              </w:rPr>
              <w:t xml:space="preserve">The vendor </w:t>
            </w:r>
            <w:r w:rsidRPr="00842009">
              <w:rPr>
                <w:sz w:val="20"/>
                <w:szCs w:val="20"/>
              </w:rPr>
              <w:t>describes processes to promote fairness, including guidelines per domain, application of UDL guidelines during test development and internal and external review, attention to bias and sensitivity criteria, and inclusion of a diverse sample in the field test based on geographic location (state), gender, ethnicity, and home language.</w:t>
            </w:r>
            <w:r>
              <w:rPr>
                <w:sz w:val="20"/>
                <w:szCs w:val="20"/>
              </w:rPr>
              <w:t xml:space="preserve"> Procedures for developing the b</w:t>
            </w:r>
            <w:r w:rsidRPr="00842009">
              <w:rPr>
                <w:sz w:val="20"/>
                <w:szCs w:val="20"/>
              </w:rPr>
              <w:t>raille form are described. However, these are only very general descriptions of the processes used</w:t>
            </w:r>
            <w:r>
              <w:rPr>
                <w:sz w:val="20"/>
                <w:szCs w:val="20"/>
              </w:rPr>
              <w:t>, and the qualifications of the reviewers are not provided</w:t>
            </w:r>
            <w:r w:rsidRPr="00842009">
              <w:rPr>
                <w:sz w:val="20"/>
                <w:szCs w:val="20"/>
              </w:rPr>
              <w:t>. As such, it is difficult to determine whether the processes used were adequate.</w:t>
            </w:r>
            <w:r>
              <w:rPr>
                <w:sz w:val="20"/>
                <w:szCs w:val="20"/>
              </w:rPr>
              <w:t xml:space="preserve"> </w:t>
            </w:r>
          </w:p>
          <w:p w14:paraId="461939B0" w14:textId="77777777" w:rsidR="004B0E92" w:rsidRPr="00842009" w:rsidRDefault="004B0E92" w:rsidP="00385738">
            <w:pPr>
              <w:rPr>
                <w:sz w:val="20"/>
                <w:szCs w:val="20"/>
              </w:rPr>
            </w:pPr>
          </w:p>
          <w:p w14:paraId="50C6F31F" w14:textId="77777777" w:rsidR="004B0E92" w:rsidRPr="00842009" w:rsidRDefault="004B0E92" w:rsidP="00385738">
            <w:pPr>
              <w:rPr>
                <w:sz w:val="20"/>
                <w:szCs w:val="20"/>
              </w:rPr>
            </w:pPr>
            <w:r w:rsidRPr="00842009">
              <w:rPr>
                <w:sz w:val="20"/>
                <w:szCs w:val="20"/>
              </w:rPr>
              <w:t>When an additional form is created as described elsewhere in the submission, attention should be paid to adequately detailing the processes used</w:t>
            </w:r>
            <w:r>
              <w:rPr>
                <w:sz w:val="20"/>
                <w:szCs w:val="20"/>
              </w:rPr>
              <w:t>, including qualifications of reviewers</w:t>
            </w:r>
            <w:r w:rsidRPr="00842009">
              <w:rPr>
                <w:sz w:val="20"/>
                <w:szCs w:val="20"/>
              </w:rPr>
              <w:t xml:space="preserve">. </w:t>
            </w:r>
          </w:p>
          <w:p w14:paraId="7B69D276" w14:textId="77777777" w:rsidR="004B0E92" w:rsidRPr="00842009" w:rsidRDefault="004B0E92" w:rsidP="00385738">
            <w:pPr>
              <w:rPr>
                <w:sz w:val="20"/>
                <w:szCs w:val="20"/>
              </w:rPr>
            </w:pPr>
          </w:p>
          <w:p w14:paraId="25BBEFC8" w14:textId="77777777" w:rsidR="004B0E92" w:rsidRDefault="004B0E92" w:rsidP="00385738">
            <w:pPr>
              <w:rPr>
                <w:sz w:val="20"/>
                <w:szCs w:val="20"/>
              </w:rPr>
            </w:pPr>
            <w:r w:rsidRPr="00842009">
              <w:rPr>
                <w:sz w:val="20"/>
                <w:szCs w:val="20"/>
              </w:rPr>
              <w:t>Evidence describes DIF analysis based on gender, ethnicity, and ELL status, but no empirical evidence could be found (e.g., distribution of items flagged, consideration of data, or criteria for removal</w:t>
            </w:r>
            <w:r>
              <w:rPr>
                <w:sz w:val="20"/>
                <w:szCs w:val="20"/>
              </w:rPr>
              <w:t xml:space="preserve"> of items based on DIF</w:t>
            </w:r>
            <w:r w:rsidRPr="00842009">
              <w:rPr>
                <w:sz w:val="20"/>
                <w:szCs w:val="20"/>
              </w:rPr>
              <w:t xml:space="preserve">). Peers could not find evidence that ELs with disabilities were considered during </w:t>
            </w:r>
            <w:r>
              <w:rPr>
                <w:sz w:val="20"/>
                <w:szCs w:val="20"/>
              </w:rPr>
              <w:t xml:space="preserve">item </w:t>
            </w:r>
            <w:r w:rsidRPr="00842009">
              <w:rPr>
                <w:sz w:val="20"/>
                <w:szCs w:val="20"/>
              </w:rPr>
              <w:t>development</w:t>
            </w:r>
            <w:r>
              <w:rPr>
                <w:sz w:val="20"/>
                <w:szCs w:val="20"/>
              </w:rPr>
              <w:t>,</w:t>
            </w:r>
            <w:r w:rsidRPr="00842009">
              <w:rPr>
                <w:sz w:val="20"/>
                <w:szCs w:val="20"/>
              </w:rPr>
              <w:t xml:space="preserve"> or statistical evaluation of fairness.</w:t>
            </w:r>
          </w:p>
          <w:p w14:paraId="35EA8953" w14:textId="77777777" w:rsidR="004B0E92" w:rsidRDefault="004B0E92" w:rsidP="00385738">
            <w:pPr>
              <w:rPr>
                <w:sz w:val="20"/>
                <w:szCs w:val="20"/>
              </w:rPr>
            </w:pPr>
          </w:p>
          <w:p w14:paraId="01A2FB70" w14:textId="77777777" w:rsidR="004B0E92" w:rsidRPr="00413500" w:rsidRDefault="004B0E92" w:rsidP="00385738">
            <w:pPr>
              <w:rPr>
                <w:rFonts w:ascii="TimesNewRoman" w:eastAsiaTheme="minorHAnsi" w:hAnsi="TimesNewRoman" w:cs="TimesNewRoman"/>
              </w:rPr>
            </w:pPr>
            <w:r>
              <w:rPr>
                <w:sz w:val="20"/>
                <w:szCs w:val="20"/>
              </w:rPr>
              <w:t>See comments in CE 4.4 regarding score interpretations for Category 3 accommodations.</w:t>
            </w:r>
          </w:p>
        </w:tc>
      </w:tr>
      <w:tr w:rsidR="004B0E92" w:rsidRPr="00532BBF" w14:paraId="289F3D1B" w14:textId="77777777" w:rsidTr="00385738">
        <w:tc>
          <w:tcPr>
            <w:tcW w:w="13410" w:type="dxa"/>
            <w:gridSpan w:val="3"/>
            <w:shd w:val="clear" w:color="auto" w:fill="auto"/>
          </w:tcPr>
          <w:p w14:paraId="38A4E2D8" w14:textId="77777777" w:rsidR="004B0E92" w:rsidRPr="00532BBF" w:rsidRDefault="004B0E92" w:rsidP="00385738">
            <w:pPr>
              <w:pStyle w:val="Heading4"/>
            </w:pPr>
            <w:r>
              <w:t xml:space="preserve">Section 4.2 </w:t>
            </w:r>
            <w:r w:rsidRPr="00532BBF">
              <w:t>Summary Statement</w:t>
            </w:r>
          </w:p>
        </w:tc>
      </w:tr>
      <w:tr w:rsidR="004B0E92" w:rsidRPr="00532BBF" w14:paraId="1762A82C" w14:textId="77777777" w:rsidTr="00385738">
        <w:tc>
          <w:tcPr>
            <w:tcW w:w="13410" w:type="dxa"/>
            <w:gridSpan w:val="3"/>
            <w:shd w:val="clear" w:color="auto" w:fill="auto"/>
          </w:tcPr>
          <w:p w14:paraId="7FF7F6F7" w14:textId="77777777" w:rsidR="004B0E92" w:rsidRPr="00532BBF" w:rsidRDefault="004B0E92" w:rsidP="00385738">
            <w:pPr>
              <w:rPr>
                <w:sz w:val="20"/>
                <w:szCs w:val="20"/>
              </w:rPr>
            </w:pPr>
            <w:r w:rsidRPr="00532BBF">
              <w:rPr>
                <w:sz w:val="20"/>
                <w:szCs w:val="20"/>
              </w:rPr>
              <w:t>___ No additional evidence is required or</w:t>
            </w:r>
          </w:p>
          <w:p w14:paraId="66CA70D7" w14:textId="77777777" w:rsidR="004B0E92" w:rsidRPr="00532BBF" w:rsidRDefault="004B0E92" w:rsidP="00385738">
            <w:pPr>
              <w:rPr>
                <w:sz w:val="20"/>
                <w:szCs w:val="20"/>
              </w:rPr>
            </w:pPr>
          </w:p>
          <w:p w14:paraId="7F57E5E8" w14:textId="77777777" w:rsidR="004B0E92" w:rsidRPr="003426C7" w:rsidRDefault="004B0E92" w:rsidP="00385738">
            <w:pPr>
              <w:rPr>
                <w:b/>
                <w:sz w:val="20"/>
                <w:szCs w:val="20"/>
                <w:u w:val="single"/>
              </w:rPr>
            </w:pPr>
            <w:r w:rsidRPr="00532BBF">
              <w:rPr>
                <w:sz w:val="20"/>
                <w:szCs w:val="20"/>
              </w:rPr>
              <w:t>_</w:t>
            </w:r>
            <w:r>
              <w:rPr>
                <w:sz w:val="20"/>
                <w:szCs w:val="20"/>
              </w:rPr>
              <w:t>X</w:t>
            </w:r>
            <w:r w:rsidRPr="00532BBF">
              <w:rPr>
                <w:sz w:val="20"/>
                <w:szCs w:val="20"/>
              </w:rPr>
              <w:t>_ The following additional evidence is needed/provide brief rationale:</w:t>
            </w:r>
          </w:p>
          <w:p w14:paraId="6A1BF482" w14:textId="77777777" w:rsidR="004B0E92" w:rsidRPr="003426C7" w:rsidRDefault="004B0E92" w:rsidP="00385738">
            <w:pPr>
              <w:rPr>
                <w:sz w:val="20"/>
              </w:rPr>
            </w:pPr>
          </w:p>
          <w:p w14:paraId="4D80098D" w14:textId="77777777" w:rsidR="004B0E92" w:rsidRDefault="004B0E92" w:rsidP="008D31CB">
            <w:pPr>
              <w:pStyle w:val="ListParagraph"/>
              <w:numPr>
                <w:ilvl w:val="0"/>
                <w:numId w:val="31"/>
              </w:numPr>
              <w:ind w:left="247" w:hanging="180"/>
              <w:rPr>
                <w:sz w:val="20"/>
              </w:rPr>
            </w:pPr>
            <w:r>
              <w:rPr>
                <w:sz w:val="20"/>
              </w:rPr>
              <w:t>Empirical evidence that t</w:t>
            </w:r>
            <w:r w:rsidRPr="00922720">
              <w:rPr>
                <w:sz w:val="20"/>
              </w:rPr>
              <w:t>he State has taken reasonable and appropriate steps to ensure that its assessments are accessible to all EL students and fair across student groups, including ELs with disabilities, in their des</w:t>
            </w:r>
            <w:r>
              <w:rPr>
                <w:sz w:val="20"/>
              </w:rPr>
              <w:t>ign, development, and analysis;</w:t>
            </w:r>
          </w:p>
          <w:p w14:paraId="43FB3665" w14:textId="77777777" w:rsidR="004B0E92" w:rsidRPr="00532BBF" w:rsidRDefault="004B0E92" w:rsidP="008D31CB">
            <w:pPr>
              <w:pStyle w:val="ListParagraph"/>
              <w:numPr>
                <w:ilvl w:val="0"/>
                <w:numId w:val="31"/>
              </w:numPr>
              <w:spacing w:before="80"/>
              <w:ind w:left="247" w:hanging="247"/>
              <w:rPr>
                <w:sz w:val="20"/>
                <w:szCs w:val="20"/>
              </w:rPr>
            </w:pPr>
            <w:r>
              <w:rPr>
                <w:sz w:val="20"/>
              </w:rPr>
              <w:t>D</w:t>
            </w:r>
            <w:r w:rsidRPr="00922720">
              <w:rPr>
                <w:sz w:val="20"/>
              </w:rPr>
              <w:t>etailed evidence regarding the processes used to develop the assessments, including, but not limited to, the qualifications of the reviewers</w:t>
            </w:r>
          </w:p>
        </w:tc>
      </w:tr>
    </w:tbl>
    <w:p w14:paraId="3EDA4D8B" w14:textId="77777777" w:rsidR="004B0E92" w:rsidRDefault="004B0E92" w:rsidP="004B0E92">
      <w:pPr>
        <w:rPr>
          <w:b/>
          <w:sz w:val="20"/>
        </w:rPr>
      </w:pPr>
    </w:p>
    <w:p w14:paraId="57DD91C1" w14:textId="77777777" w:rsidR="004B0E92" w:rsidRPr="00A37BB9" w:rsidRDefault="004B0E92" w:rsidP="004B0E92">
      <w:pPr>
        <w:pStyle w:val="Heading2"/>
      </w:pPr>
      <w:r>
        <w:br w:type="page"/>
      </w:r>
      <w:bookmarkStart w:id="28" w:name="_Toc3354974"/>
      <w:r w:rsidRPr="00657578">
        <w:lastRenderedPageBreak/>
        <w:t>Critical Element 4.3 – Full Performance Continuum</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3B6B3BA3"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6A2D8528"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F5A4CE2"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64475E1"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376E52E4" w14:textId="77777777" w:rsidTr="00385738">
        <w:tc>
          <w:tcPr>
            <w:tcW w:w="3618" w:type="dxa"/>
            <w:shd w:val="clear" w:color="auto" w:fill="auto"/>
          </w:tcPr>
          <w:p w14:paraId="1BDBC2A5" w14:textId="77777777" w:rsidR="004B0E92" w:rsidRPr="0077197F" w:rsidRDefault="004B0E92" w:rsidP="00385738">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58C6F308" w14:textId="77777777" w:rsidR="004B0E92" w:rsidRPr="00572F56" w:rsidRDefault="004B0E92" w:rsidP="00385738">
            <w:pPr>
              <w:autoSpaceDE w:val="0"/>
              <w:autoSpaceDN w:val="0"/>
              <w:adjustRightInd w:val="0"/>
              <w:ind w:left="-41" w:firstLine="41"/>
              <w:rPr>
                <w:rFonts w:eastAsiaTheme="minorHAnsi"/>
                <w:sz w:val="20"/>
                <w:szCs w:val="20"/>
              </w:rPr>
            </w:pPr>
            <w:r w:rsidRPr="00572F56">
              <w:rPr>
                <w:rFonts w:eastAsiaTheme="minorHAnsi"/>
                <w:sz w:val="20"/>
                <w:szCs w:val="20"/>
              </w:rPr>
              <w:t>DRC Scorer Training Protocol</w:t>
            </w:r>
          </w:p>
          <w:p w14:paraId="6366517F" w14:textId="77777777" w:rsidR="004B0E92" w:rsidRPr="00572F56" w:rsidRDefault="004B0E92" w:rsidP="00385738">
            <w:pPr>
              <w:autoSpaceDE w:val="0"/>
              <w:autoSpaceDN w:val="0"/>
              <w:adjustRightInd w:val="0"/>
              <w:ind w:left="-41" w:firstLine="41"/>
              <w:rPr>
                <w:rFonts w:eastAsiaTheme="minorHAnsi"/>
                <w:sz w:val="20"/>
                <w:szCs w:val="20"/>
              </w:rPr>
            </w:pPr>
          </w:p>
          <w:p w14:paraId="67515BF0" w14:textId="77777777" w:rsidR="004B0E92" w:rsidRPr="00572F56" w:rsidRDefault="004B0E92" w:rsidP="00385738">
            <w:pPr>
              <w:autoSpaceDE w:val="0"/>
              <w:autoSpaceDN w:val="0"/>
              <w:adjustRightInd w:val="0"/>
              <w:ind w:left="-41" w:firstLine="41"/>
              <w:rPr>
                <w:rFonts w:eastAsiaTheme="minorHAnsi"/>
                <w:sz w:val="20"/>
                <w:szCs w:val="20"/>
              </w:rPr>
            </w:pPr>
            <w:r w:rsidRPr="00572F56">
              <w:rPr>
                <w:rFonts w:eastAsiaTheme="minorHAnsi"/>
                <w:sz w:val="20"/>
                <w:szCs w:val="20"/>
              </w:rPr>
              <w:t>DRC LAS Links® Second Edition, Forms C and D</w:t>
            </w:r>
          </w:p>
          <w:p w14:paraId="3740E81F" w14:textId="77777777" w:rsidR="004B0E92" w:rsidRPr="00572F56" w:rsidRDefault="004B0E92" w:rsidP="00385738">
            <w:pPr>
              <w:autoSpaceDE w:val="0"/>
              <w:autoSpaceDN w:val="0"/>
              <w:adjustRightInd w:val="0"/>
              <w:ind w:left="-41" w:firstLine="41"/>
              <w:rPr>
                <w:rFonts w:eastAsiaTheme="minorHAnsi"/>
                <w:sz w:val="20"/>
                <w:szCs w:val="20"/>
              </w:rPr>
            </w:pPr>
            <w:r w:rsidRPr="00572F56">
              <w:rPr>
                <w:rFonts w:eastAsiaTheme="minorHAnsi"/>
                <w:sz w:val="20"/>
                <w:szCs w:val="20"/>
              </w:rPr>
              <w:t>Technical Manual, 2018,</w:t>
            </w:r>
          </w:p>
          <w:p w14:paraId="5015B03F" w14:textId="77777777" w:rsidR="004B0E92" w:rsidRPr="00572F56" w:rsidRDefault="004B0E92" w:rsidP="00385738">
            <w:pPr>
              <w:autoSpaceDE w:val="0"/>
              <w:autoSpaceDN w:val="0"/>
              <w:adjustRightInd w:val="0"/>
              <w:ind w:left="-41" w:firstLine="41"/>
              <w:rPr>
                <w:rFonts w:eastAsiaTheme="minorHAnsi"/>
                <w:sz w:val="20"/>
                <w:szCs w:val="20"/>
              </w:rPr>
            </w:pPr>
            <w:r w:rsidRPr="00572F56">
              <w:rPr>
                <w:rFonts w:eastAsiaTheme="minorHAnsi"/>
                <w:sz w:val="20"/>
                <w:szCs w:val="20"/>
              </w:rPr>
              <w:t>Chapter 3 (p. 36), Chapter</w:t>
            </w:r>
          </w:p>
          <w:p w14:paraId="6B17498F" w14:textId="77777777" w:rsidR="004B0E92" w:rsidRPr="00572F56" w:rsidRDefault="004B0E92" w:rsidP="00385738">
            <w:pPr>
              <w:autoSpaceDE w:val="0"/>
              <w:autoSpaceDN w:val="0"/>
              <w:adjustRightInd w:val="0"/>
              <w:ind w:left="-41" w:firstLine="41"/>
              <w:rPr>
                <w:rFonts w:eastAsiaTheme="minorHAnsi"/>
                <w:sz w:val="20"/>
                <w:szCs w:val="20"/>
              </w:rPr>
            </w:pPr>
            <w:r w:rsidRPr="00572F56">
              <w:rPr>
                <w:rFonts w:eastAsiaTheme="minorHAnsi"/>
                <w:sz w:val="20"/>
                <w:szCs w:val="20"/>
              </w:rPr>
              <w:t>4 (p. 46), Chapter 6 (p. 61),</w:t>
            </w:r>
          </w:p>
          <w:p w14:paraId="776DE9A2" w14:textId="77777777" w:rsidR="004B0E92" w:rsidRPr="00572F56" w:rsidRDefault="004B0E92" w:rsidP="00385738">
            <w:pPr>
              <w:autoSpaceDE w:val="0"/>
              <w:autoSpaceDN w:val="0"/>
              <w:adjustRightInd w:val="0"/>
              <w:ind w:left="-41" w:firstLine="41"/>
              <w:rPr>
                <w:rFonts w:eastAsiaTheme="minorHAnsi"/>
                <w:sz w:val="20"/>
                <w:szCs w:val="20"/>
              </w:rPr>
            </w:pPr>
            <w:r w:rsidRPr="00572F56">
              <w:rPr>
                <w:rFonts w:eastAsiaTheme="minorHAnsi"/>
                <w:sz w:val="20"/>
                <w:szCs w:val="20"/>
              </w:rPr>
              <w:t>Chapter 7 (p. 77),</w:t>
            </w:r>
          </w:p>
          <w:p w14:paraId="4EA8E143" w14:textId="77777777" w:rsidR="004B0E92" w:rsidRPr="00572F56" w:rsidRDefault="004B0E92" w:rsidP="00385738">
            <w:pPr>
              <w:autoSpaceDE w:val="0"/>
              <w:autoSpaceDN w:val="0"/>
              <w:adjustRightInd w:val="0"/>
              <w:ind w:left="-41" w:firstLine="41"/>
              <w:rPr>
                <w:rFonts w:eastAsiaTheme="minorHAnsi"/>
                <w:sz w:val="20"/>
                <w:szCs w:val="20"/>
              </w:rPr>
            </w:pPr>
            <w:r w:rsidRPr="00572F56">
              <w:rPr>
                <w:rFonts w:eastAsiaTheme="minorHAnsi"/>
                <w:sz w:val="20"/>
                <w:szCs w:val="20"/>
              </w:rPr>
              <w:t>Appendix C (p. 110),</w:t>
            </w:r>
          </w:p>
          <w:p w14:paraId="3FD6B975" w14:textId="77777777" w:rsidR="004B0E92" w:rsidRPr="00572F56" w:rsidRDefault="004B0E92" w:rsidP="00385738">
            <w:pPr>
              <w:autoSpaceDE w:val="0"/>
              <w:autoSpaceDN w:val="0"/>
              <w:adjustRightInd w:val="0"/>
              <w:ind w:left="-41" w:firstLine="41"/>
              <w:rPr>
                <w:rFonts w:eastAsiaTheme="minorHAnsi"/>
                <w:sz w:val="20"/>
                <w:szCs w:val="20"/>
              </w:rPr>
            </w:pPr>
            <w:r w:rsidRPr="00572F56">
              <w:rPr>
                <w:rFonts w:eastAsiaTheme="minorHAnsi"/>
                <w:sz w:val="20"/>
                <w:szCs w:val="20"/>
              </w:rPr>
              <w:t>Appendix F (p. 196),</w:t>
            </w:r>
          </w:p>
          <w:p w14:paraId="2B95897C" w14:textId="77777777" w:rsidR="004B0E92" w:rsidRPr="00572F56" w:rsidRDefault="004B0E92" w:rsidP="00385738">
            <w:pPr>
              <w:pStyle w:val="Tabletext"/>
              <w:widowControl w:val="0"/>
              <w:autoSpaceDE w:val="0"/>
              <w:autoSpaceDN w:val="0"/>
              <w:adjustRightInd w:val="0"/>
              <w:spacing w:before="0" w:after="0"/>
              <w:ind w:left="-41" w:firstLine="41"/>
              <w:rPr>
                <w:rFonts w:ascii="Times New Roman" w:eastAsiaTheme="minorHAnsi" w:hAnsi="Times New Roman"/>
                <w:szCs w:val="20"/>
              </w:rPr>
            </w:pPr>
            <w:r w:rsidRPr="00572F56">
              <w:rPr>
                <w:rFonts w:ascii="Times New Roman" w:eastAsiaTheme="minorHAnsi" w:hAnsi="Times New Roman"/>
                <w:szCs w:val="20"/>
              </w:rPr>
              <w:t>Appendix G (p. 204)</w:t>
            </w:r>
          </w:p>
          <w:p w14:paraId="22C81491" w14:textId="77777777" w:rsidR="004B0E92" w:rsidRDefault="004B0E92" w:rsidP="00385738">
            <w:pPr>
              <w:pStyle w:val="Tabletext"/>
              <w:widowControl w:val="0"/>
              <w:autoSpaceDE w:val="0"/>
              <w:autoSpaceDN w:val="0"/>
              <w:adjustRightInd w:val="0"/>
              <w:spacing w:before="0" w:after="0"/>
              <w:rPr>
                <w:rFonts w:eastAsiaTheme="minorHAnsi"/>
                <w:szCs w:val="20"/>
              </w:rPr>
            </w:pPr>
          </w:p>
          <w:p w14:paraId="70C9D331" w14:textId="77777777" w:rsidR="004B0E92" w:rsidRPr="0077197F" w:rsidRDefault="004B0E92" w:rsidP="00385738">
            <w:pPr>
              <w:pStyle w:val="Tabletext"/>
              <w:widowControl w:val="0"/>
              <w:autoSpaceDE w:val="0"/>
              <w:autoSpaceDN w:val="0"/>
              <w:adjustRightInd w:val="0"/>
              <w:spacing w:before="0" w:after="0"/>
              <w:rPr>
                <w:szCs w:val="20"/>
              </w:rPr>
            </w:pPr>
          </w:p>
        </w:tc>
        <w:tc>
          <w:tcPr>
            <w:tcW w:w="5013" w:type="dxa"/>
            <w:shd w:val="clear" w:color="auto" w:fill="auto"/>
          </w:tcPr>
          <w:p w14:paraId="09B7FAD0" w14:textId="77777777" w:rsidR="004B0E92" w:rsidRPr="00170D4B" w:rsidRDefault="004B0E92" w:rsidP="00385738">
            <w:pPr>
              <w:widowControl w:val="0"/>
              <w:autoSpaceDE w:val="0"/>
              <w:autoSpaceDN w:val="0"/>
              <w:adjustRightInd w:val="0"/>
              <w:rPr>
                <w:sz w:val="20"/>
                <w:szCs w:val="20"/>
              </w:rPr>
            </w:pPr>
            <w:r w:rsidRPr="00170D4B">
              <w:rPr>
                <w:sz w:val="20"/>
                <w:szCs w:val="20"/>
              </w:rPr>
              <w:t>The LAS Links technical manual describes procedures used during item development and form building to develop items with an intended appropriate range of difficulty.</w:t>
            </w:r>
          </w:p>
          <w:p w14:paraId="721DA259" w14:textId="77777777" w:rsidR="004B0E92" w:rsidRPr="00170D4B" w:rsidRDefault="004B0E92" w:rsidP="00385738">
            <w:pPr>
              <w:widowControl w:val="0"/>
              <w:autoSpaceDE w:val="0"/>
              <w:autoSpaceDN w:val="0"/>
              <w:adjustRightInd w:val="0"/>
              <w:rPr>
                <w:sz w:val="20"/>
                <w:szCs w:val="20"/>
              </w:rPr>
            </w:pPr>
          </w:p>
          <w:p w14:paraId="75EA37A6" w14:textId="77777777" w:rsidR="004B0E92" w:rsidRPr="00170D4B" w:rsidRDefault="004B0E92" w:rsidP="00385738">
            <w:pPr>
              <w:widowControl w:val="0"/>
              <w:autoSpaceDE w:val="0"/>
              <w:autoSpaceDN w:val="0"/>
              <w:adjustRightInd w:val="0"/>
              <w:rPr>
                <w:sz w:val="20"/>
                <w:szCs w:val="20"/>
              </w:rPr>
            </w:pPr>
            <w:r w:rsidRPr="00170D4B">
              <w:rPr>
                <w:sz w:val="20"/>
                <w:szCs w:val="20"/>
              </w:rPr>
              <w:t>Evidence was provided regarding item difficulties (Appendix F), SEM for each domain’s TCC (pp. 84-91), and the CSEM associated with each domain scale score (Appendix E).</w:t>
            </w:r>
          </w:p>
          <w:p w14:paraId="3565DD4E" w14:textId="77777777" w:rsidR="004B0E92" w:rsidRPr="00170D4B" w:rsidRDefault="004B0E92" w:rsidP="00385738">
            <w:pPr>
              <w:widowControl w:val="0"/>
              <w:autoSpaceDE w:val="0"/>
              <w:autoSpaceDN w:val="0"/>
              <w:adjustRightInd w:val="0"/>
              <w:rPr>
                <w:sz w:val="20"/>
                <w:szCs w:val="20"/>
              </w:rPr>
            </w:pPr>
          </w:p>
          <w:p w14:paraId="1FE7D8DF" w14:textId="77777777" w:rsidR="004B0E92" w:rsidRPr="00E77488" w:rsidRDefault="004B0E92" w:rsidP="00385738">
            <w:pPr>
              <w:widowControl w:val="0"/>
              <w:autoSpaceDE w:val="0"/>
              <w:autoSpaceDN w:val="0"/>
              <w:adjustRightInd w:val="0"/>
              <w:rPr>
                <w:sz w:val="20"/>
                <w:szCs w:val="20"/>
              </w:rPr>
            </w:pPr>
            <w:r w:rsidRPr="00170D4B">
              <w:rPr>
                <w:sz w:val="20"/>
                <w:szCs w:val="20"/>
              </w:rPr>
              <w:t>Vendor implemented LOSS and HOSS after scaling, per domain and composite scale (pp. 50-52).</w:t>
            </w:r>
            <w:r>
              <w:rPr>
                <w:sz w:val="20"/>
                <w:szCs w:val="20"/>
              </w:rPr>
              <w:t xml:space="preserve"> However, peers could find </w:t>
            </w:r>
            <w:r w:rsidRPr="00E77488">
              <w:rPr>
                <w:sz w:val="20"/>
                <w:szCs w:val="20"/>
              </w:rPr>
              <w:t>no evidence of the distribution of linguistic</w:t>
            </w:r>
            <w:r>
              <w:rPr>
                <w:sz w:val="20"/>
                <w:szCs w:val="20"/>
              </w:rPr>
              <w:t xml:space="preserve"> complexity of the tasks, nor domain-specific proficiency profiles.</w:t>
            </w:r>
          </w:p>
          <w:p w14:paraId="1C77AD31" w14:textId="77777777" w:rsidR="004B0E92" w:rsidRPr="00E77488" w:rsidRDefault="004B0E92" w:rsidP="00385738">
            <w:pPr>
              <w:widowControl w:val="0"/>
              <w:autoSpaceDE w:val="0"/>
              <w:autoSpaceDN w:val="0"/>
              <w:adjustRightInd w:val="0"/>
              <w:rPr>
                <w:sz w:val="20"/>
                <w:szCs w:val="20"/>
              </w:rPr>
            </w:pPr>
          </w:p>
          <w:p w14:paraId="363C03E6" w14:textId="77777777" w:rsidR="004B0E92" w:rsidRPr="0077197F" w:rsidRDefault="004B0E92" w:rsidP="00385738">
            <w:pPr>
              <w:widowControl w:val="0"/>
              <w:autoSpaceDE w:val="0"/>
              <w:autoSpaceDN w:val="0"/>
              <w:adjustRightInd w:val="0"/>
              <w:rPr>
                <w:szCs w:val="20"/>
              </w:rPr>
            </w:pPr>
            <w:r>
              <w:rPr>
                <w:sz w:val="20"/>
                <w:szCs w:val="20"/>
              </w:rPr>
              <w:t xml:space="preserve">As noted previously, the test may not be </w:t>
            </w:r>
            <w:r w:rsidRPr="00E77488">
              <w:rPr>
                <w:sz w:val="20"/>
                <w:szCs w:val="20"/>
              </w:rPr>
              <w:t xml:space="preserve">sufficiently </w:t>
            </w:r>
            <w:r>
              <w:rPr>
                <w:sz w:val="20"/>
                <w:szCs w:val="20"/>
              </w:rPr>
              <w:t>long/precise enough to support five</w:t>
            </w:r>
            <w:r w:rsidRPr="00E77488">
              <w:rPr>
                <w:sz w:val="20"/>
                <w:szCs w:val="20"/>
              </w:rPr>
              <w:t xml:space="preserve"> achievement levels. </w:t>
            </w:r>
            <w:r>
              <w:rPr>
                <w:sz w:val="20"/>
                <w:szCs w:val="20"/>
              </w:rPr>
              <w:t>Furthermore, s</w:t>
            </w:r>
            <w:r w:rsidRPr="00E77488">
              <w:rPr>
                <w:sz w:val="20"/>
                <w:szCs w:val="20"/>
              </w:rPr>
              <w:t xml:space="preserve">ome listening and writing items are extremely easy, </w:t>
            </w:r>
            <w:r>
              <w:rPr>
                <w:sz w:val="20"/>
                <w:szCs w:val="20"/>
              </w:rPr>
              <w:t xml:space="preserve">with p-values </w:t>
            </w:r>
            <w:r w:rsidRPr="00E77488">
              <w:rPr>
                <w:sz w:val="20"/>
                <w:szCs w:val="20"/>
              </w:rPr>
              <w:t>as high as .99</w:t>
            </w:r>
            <w:r>
              <w:rPr>
                <w:sz w:val="20"/>
                <w:szCs w:val="20"/>
              </w:rPr>
              <w:t>. T</w:t>
            </w:r>
            <w:r w:rsidRPr="00E77488">
              <w:rPr>
                <w:sz w:val="20"/>
                <w:szCs w:val="20"/>
              </w:rPr>
              <w:t>he forms could benefit from refreshing to remove the items that provide little information.</w:t>
            </w:r>
          </w:p>
        </w:tc>
      </w:tr>
      <w:tr w:rsidR="004B0E92" w:rsidRPr="00532BBF" w14:paraId="1A015E8F" w14:textId="77777777" w:rsidTr="00385738">
        <w:tc>
          <w:tcPr>
            <w:tcW w:w="13410" w:type="dxa"/>
            <w:gridSpan w:val="3"/>
            <w:shd w:val="clear" w:color="auto" w:fill="auto"/>
          </w:tcPr>
          <w:p w14:paraId="1E6EC17B" w14:textId="77777777" w:rsidR="004B0E92" w:rsidRPr="00532BBF" w:rsidRDefault="004B0E92" w:rsidP="00385738">
            <w:pPr>
              <w:pStyle w:val="Heading4"/>
            </w:pPr>
            <w:r>
              <w:t xml:space="preserve">Section 4.3 </w:t>
            </w:r>
            <w:r w:rsidRPr="00532BBF">
              <w:t>Summary Statement</w:t>
            </w:r>
          </w:p>
        </w:tc>
      </w:tr>
      <w:tr w:rsidR="004B0E92" w:rsidRPr="00532BBF" w14:paraId="288703F8" w14:textId="77777777" w:rsidTr="00385738">
        <w:tc>
          <w:tcPr>
            <w:tcW w:w="13410" w:type="dxa"/>
            <w:gridSpan w:val="3"/>
            <w:shd w:val="clear" w:color="auto" w:fill="auto"/>
          </w:tcPr>
          <w:p w14:paraId="41954361" w14:textId="77777777" w:rsidR="004B0E92" w:rsidRPr="00532BBF" w:rsidRDefault="004B0E92" w:rsidP="00385738">
            <w:pPr>
              <w:rPr>
                <w:sz w:val="20"/>
                <w:szCs w:val="20"/>
              </w:rPr>
            </w:pPr>
            <w:r w:rsidRPr="00532BBF">
              <w:rPr>
                <w:sz w:val="20"/>
                <w:szCs w:val="20"/>
              </w:rPr>
              <w:t>___ No additional evidence is required or</w:t>
            </w:r>
          </w:p>
          <w:p w14:paraId="1646B942" w14:textId="77777777" w:rsidR="004B0E92" w:rsidRPr="00532BBF" w:rsidRDefault="004B0E92" w:rsidP="00385738">
            <w:pPr>
              <w:rPr>
                <w:sz w:val="20"/>
                <w:szCs w:val="20"/>
              </w:rPr>
            </w:pPr>
          </w:p>
          <w:p w14:paraId="323DC45C" w14:textId="77777777" w:rsidR="004B0E92" w:rsidRPr="00532BBF" w:rsidRDefault="004B0E92" w:rsidP="00385738">
            <w:pPr>
              <w:rPr>
                <w:sz w:val="20"/>
                <w:szCs w:val="20"/>
              </w:rPr>
            </w:pPr>
            <w:r w:rsidRPr="00532BBF">
              <w:rPr>
                <w:sz w:val="20"/>
                <w:szCs w:val="20"/>
              </w:rPr>
              <w:t>___ The following additional evidence is needed/provide brief rationale:</w:t>
            </w:r>
          </w:p>
          <w:p w14:paraId="06A2DDC9" w14:textId="77777777" w:rsidR="004B0E92" w:rsidRDefault="004B0E92" w:rsidP="008D31CB">
            <w:pPr>
              <w:pStyle w:val="ListParagraph"/>
              <w:numPr>
                <w:ilvl w:val="0"/>
                <w:numId w:val="32"/>
              </w:numPr>
              <w:rPr>
                <w:sz w:val="20"/>
                <w:szCs w:val="20"/>
              </w:rPr>
            </w:pPr>
            <w:r>
              <w:rPr>
                <w:sz w:val="20"/>
                <w:szCs w:val="20"/>
                <w:lang w:eastAsia="zh-CN"/>
              </w:rPr>
              <w:t xml:space="preserve">Evidence that the assessment provides </w:t>
            </w:r>
            <w:r w:rsidRPr="00170D4B">
              <w:rPr>
                <w:sz w:val="20"/>
                <w:szCs w:val="20"/>
              </w:rPr>
              <w:t>adequately precise estimate</w:t>
            </w:r>
            <w:r>
              <w:rPr>
                <w:sz w:val="20"/>
                <w:szCs w:val="20"/>
              </w:rPr>
              <w:t>s</w:t>
            </w:r>
            <w:r w:rsidRPr="00170D4B">
              <w:rPr>
                <w:sz w:val="20"/>
                <w:szCs w:val="20"/>
              </w:rPr>
              <w:t xml:space="preserve"> of student performance across</w:t>
            </w:r>
            <w:r>
              <w:rPr>
                <w:sz w:val="20"/>
                <w:szCs w:val="20"/>
              </w:rPr>
              <w:t xml:space="preserve"> the full performance continuum, </w:t>
            </w:r>
            <w:r w:rsidRPr="00170D4B">
              <w:rPr>
                <w:sz w:val="20"/>
                <w:szCs w:val="20"/>
              </w:rPr>
              <w:t>including performance for EL students with high and low levels of Engli</w:t>
            </w:r>
            <w:r>
              <w:rPr>
                <w:sz w:val="20"/>
                <w:szCs w:val="20"/>
              </w:rPr>
              <w:t xml:space="preserve">sh language proficiency </w:t>
            </w:r>
          </w:p>
          <w:p w14:paraId="31230BC3" w14:textId="77777777" w:rsidR="004B0E92" w:rsidRPr="00170D4B" w:rsidRDefault="004B0E92" w:rsidP="008D31CB">
            <w:pPr>
              <w:pStyle w:val="ListParagraph"/>
              <w:numPr>
                <w:ilvl w:val="0"/>
                <w:numId w:val="32"/>
              </w:numPr>
              <w:rPr>
                <w:sz w:val="20"/>
                <w:szCs w:val="20"/>
              </w:rPr>
            </w:pPr>
            <w:r>
              <w:rPr>
                <w:sz w:val="20"/>
                <w:szCs w:val="20"/>
              </w:rPr>
              <w:t>Evidence of reliability for different</w:t>
            </w:r>
            <w:r w:rsidRPr="00170D4B">
              <w:rPr>
                <w:sz w:val="20"/>
                <w:szCs w:val="20"/>
              </w:rPr>
              <w:t xml:space="preserve"> proficiency profiles across the domains of speaking, </w:t>
            </w:r>
            <w:r>
              <w:rPr>
                <w:sz w:val="20"/>
                <w:szCs w:val="20"/>
              </w:rPr>
              <w:t>listening, reading, and writing</w:t>
            </w:r>
          </w:p>
        </w:tc>
      </w:tr>
    </w:tbl>
    <w:p w14:paraId="5EB0098C" w14:textId="77777777" w:rsidR="004B0E92" w:rsidRDefault="004B0E92" w:rsidP="004B0E92"/>
    <w:p w14:paraId="226B3280" w14:textId="77777777" w:rsidR="004B0E92" w:rsidRDefault="004B0E92" w:rsidP="004B0E92">
      <w:pPr>
        <w:pStyle w:val="Heading2"/>
      </w:pPr>
      <w:r>
        <w:br w:type="page"/>
      </w:r>
      <w:bookmarkStart w:id="29" w:name="_Toc3354975"/>
      <w:r w:rsidRPr="00F47BF4">
        <w:lastRenderedPageBreak/>
        <w:t>Critical Element 4.4 – Scoring</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3AF1C5F9"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057D2EE5"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E7CCB3A"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48D4737"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7348943F" w14:textId="77777777" w:rsidTr="00385738">
        <w:tc>
          <w:tcPr>
            <w:tcW w:w="3618" w:type="dxa"/>
            <w:shd w:val="clear" w:color="auto" w:fill="auto"/>
          </w:tcPr>
          <w:p w14:paraId="6844B5C0" w14:textId="77777777" w:rsidR="004B0E92" w:rsidRPr="00653B90" w:rsidRDefault="004B0E92" w:rsidP="00385738">
            <w:pPr>
              <w:spacing w:before="80"/>
              <w:rPr>
                <w:sz w:val="20"/>
                <w:szCs w:val="20"/>
              </w:rPr>
            </w:pPr>
            <w:r w:rsidRPr="00653B90">
              <w:rPr>
                <w:sz w:val="20"/>
                <w:szCs w:val="20"/>
              </w:rPr>
              <w:t xml:space="preserve">The State has established and documented standardized scoring procedures and protocols for its assessments (and </w:t>
            </w:r>
            <w:r w:rsidRPr="00653B90">
              <w:rPr>
                <w:b/>
                <w:i/>
                <w:sz w:val="20"/>
                <w:szCs w:val="20"/>
              </w:rPr>
              <w:t>for ELP assessments, any applicable domain or component sub-tests</w:t>
            </w:r>
            <w:r w:rsidRPr="00653B90">
              <w:rPr>
                <w:sz w:val="20"/>
                <w:szCs w:val="20"/>
              </w:rPr>
              <w:t>) that are designed to produce reliable and meaningful results, facilitate valid score interpretations, and report assessment results in terms of the State’s</w:t>
            </w:r>
            <w:r w:rsidRPr="00653B90">
              <w:rPr>
                <w:sz w:val="20"/>
              </w:rPr>
              <w:t xml:space="preserve"> </w:t>
            </w:r>
            <w:r w:rsidRPr="00653B90">
              <w:rPr>
                <w:b/>
                <w:i/>
                <w:sz w:val="20"/>
                <w:szCs w:val="20"/>
              </w:rPr>
              <w:t>ELP standards</w:t>
            </w:r>
            <w:r w:rsidRPr="00653B90">
              <w:rPr>
                <w:sz w:val="20"/>
                <w:szCs w:val="20"/>
              </w:rPr>
              <w:t xml:space="preserve">.   </w:t>
            </w:r>
          </w:p>
          <w:p w14:paraId="2EFD6DDA" w14:textId="77777777" w:rsidR="004B0E92" w:rsidRPr="00653B90" w:rsidRDefault="004B0E92" w:rsidP="00385738">
            <w:pPr>
              <w:spacing w:before="80"/>
              <w:rPr>
                <w:sz w:val="20"/>
                <w:szCs w:val="20"/>
              </w:rPr>
            </w:pPr>
          </w:p>
          <w:p w14:paraId="4B6C1BA3" w14:textId="77777777" w:rsidR="004B0E92" w:rsidRPr="0077197F" w:rsidRDefault="004B0E92" w:rsidP="00385738">
            <w:pPr>
              <w:spacing w:before="80"/>
              <w:rPr>
                <w:sz w:val="20"/>
                <w:szCs w:val="20"/>
              </w:rPr>
            </w:pPr>
            <w:r w:rsidRPr="00653B90">
              <w:rPr>
                <w:b/>
                <w:i/>
                <w:sz w:val="20"/>
                <w:szCs w:val="20"/>
              </w:rPr>
              <w:t>For ELP assessments,</w:t>
            </w:r>
            <w:r w:rsidRPr="00653B9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653B90">
              <w:rPr>
                <w:rStyle w:val="FootnoteReference"/>
                <w:sz w:val="20"/>
                <w:szCs w:val="20"/>
              </w:rPr>
              <w:footnoteReference w:id="3"/>
            </w:r>
            <w:r w:rsidRPr="002313D0">
              <w:rPr>
                <w:sz w:val="20"/>
                <w:szCs w:val="20"/>
              </w:rPr>
              <w:t xml:space="preserve"> </w:t>
            </w:r>
          </w:p>
        </w:tc>
        <w:tc>
          <w:tcPr>
            <w:tcW w:w="4779" w:type="dxa"/>
            <w:shd w:val="clear" w:color="auto" w:fill="auto"/>
          </w:tcPr>
          <w:p w14:paraId="0D6D1515"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DRC Scorer Training</w:t>
            </w:r>
          </w:p>
          <w:p w14:paraId="2CCE8A71"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Protocol</w:t>
            </w:r>
          </w:p>
          <w:p w14:paraId="0AA1D34A" w14:textId="77777777" w:rsidR="004B0E92" w:rsidRDefault="004B0E92" w:rsidP="00385738">
            <w:pPr>
              <w:autoSpaceDE w:val="0"/>
              <w:autoSpaceDN w:val="0"/>
              <w:adjustRightInd w:val="0"/>
              <w:rPr>
                <w:rFonts w:eastAsiaTheme="minorHAnsi"/>
                <w:sz w:val="20"/>
                <w:szCs w:val="20"/>
              </w:rPr>
            </w:pPr>
          </w:p>
          <w:p w14:paraId="7D33873C"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DRC LAS Links® Second</w:t>
            </w:r>
          </w:p>
          <w:p w14:paraId="3CD80255"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Edition, Forms C and D</w:t>
            </w:r>
          </w:p>
          <w:p w14:paraId="45DE4255" w14:textId="77777777" w:rsidR="004B0E92" w:rsidRDefault="004B0E92" w:rsidP="00385738">
            <w:pPr>
              <w:autoSpaceDE w:val="0"/>
              <w:autoSpaceDN w:val="0"/>
              <w:adjustRightInd w:val="0"/>
              <w:rPr>
                <w:rFonts w:eastAsiaTheme="minorHAnsi"/>
              </w:rPr>
            </w:pPr>
            <w:r>
              <w:rPr>
                <w:rFonts w:eastAsiaTheme="minorHAnsi"/>
                <w:sz w:val="20"/>
                <w:szCs w:val="20"/>
              </w:rPr>
              <w:t>Technical Manual, 2018</w:t>
            </w:r>
            <w:r>
              <w:rPr>
                <w:rFonts w:eastAsiaTheme="minorHAnsi"/>
              </w:rPr>
              <w:t>,</w:t>
            </w:r>
          </w:p>
          <w:p w14:paraId="7AA38D58"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Chapter 1 (p.4), Chapter 5</w:t>
            </w:r>
          </w:p>
          <w:p w14:paraId="6F725A55"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(pgs. 56-59)</w:t>
            </w:r>
          </w:p>
          <w:p w14:paraId="11006857" w14:textId="77777777" w:rsidR="004B0E92" w:rsidRDefault="004B0E92" w:rsidP="00385738">
            <w:pPr>
              <w:autoSpaceDE w:val="0"/>
              <w:autoSpaceDN w:val="0"/>
              <w:adjustRightInd w:val="0"/>
              <w:rPr>
                <w:rFonts w:eastAsiaTheme="minorHAnsi"/>
                <w:sz w:val="20"/>
                <w:szCs w:val="20"/>
              </w:rPr>
            </w:pPr>
          </w:p>
          <w:p w14:paraId="57AF9604"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DRC LAS Links</w:t>
            </w:r>
          </w:p>
          <w:p w14:paraId="061AEB14"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Interpretation Guide for</w:t>
            </w:r>
          </w:p>
          <w:p w14:paraId="51B906A7"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Forms C and D, pgs. 16,</w:t>
            </w:r>
          </w:p>
          <w:p w14:paraId="42410AD6"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20-37</w:t>
            </w:r>
          </w:p>
          <w:p w14:paraId="5449893C" w14:textId="77777777" w:rsidR="004B0E92" w:rsidRDefault="004B0E92" w:rsidP="00385738">
            <w:pPr>
              <w:autoSpaceDE w:val="0"/>
              <w:autoSpaceDN w:val="0"/>
              <w:adjustRightInd w:val="0"/>
              <w:rPr>
                <w:rFonts w:eastAsiaTheme="minorHAnsi"/>
                <w:sz w:val="20"/>
                <w:szCs w:val="20"/>
              </w:rPr>
            </w:pPr>
          </w:p>
          <w:p w14:paraId="2422A64E"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LAS Links Approach to</w:t>
            </w:r>
          </w:p>
          <w:p w14:paraId="6052BA34"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Alignment and Item</w:t>
            </w:r>
          </w:p>
          <w:p w14:paraId="60BE3BC0" w14:textId="77777777" w:rsidR="004B0E92" w:rsidRDefault="004B0E92" w:rsidP="00385738">
            <w:pPr>
              <w:pStyle w:val="BodyText2"/>
              <w:rPr>
                <w:rFonts w:eastAsiaTheme="minorHAnsi"/>
                <w:sz w:val="20"/>
              </w:rPr>
            </w:pPr>
            <w:r>
              <w:rPr>
                <w:rFonts w:eastAsiaTheme="minorHAnsi"/>
                <w:sz w:val="20"/>
              </w:rPr>
              <w:t>Development</w:t>
            </w:r>
          </w:p>
          <w:p w14:paraId="7D070CF0" w14:textId="77777777" w:rsidR="004B0E92" w:rsidRDefault="004B0E92" w:rsidP="00385738">
            <w:pPr>
              <w:rPr>
                <w:sz w:val="20"/>
                <w:szCs w:val="20"/>
              </w:rPr>
            </w:pPr>
          </w:p>
          <w:p w14:paraId="12884B60" w14:textId="77777777" w:rsidR="004B0E92" w:rsidRPr="0077197F" w:rsidRDefault="004B0E92" w:rsidP="00385738">
            <w:pPr>
              <w:pStyle w:val="BodyText2"/>
              <w:rPr>
                <w:sz w:val="20"/>
              </w:rPr>
            </w:pPr>
          </w:p>
        </w:tc>
        <w:tc>
          <w:tcPr>
            <w:tcW w:w="5013" w:type="dxa"/>
            <w:shd w:val="clear" w:color="auto" w:fill="auto"/>
          </w:tcPr>
          <w:p w14:paraId="11C062D7" w14:textId="77777777" w:rsidR="004B0E92" w:rsidRPr="00D35CCE" w:rsidRDefault="004B0E92" w:rsidP="00385738">
            <w:pPr>
              <w:rPr>
                <w:sz w:val="20"/>
                <w:szCs w:val="20"/>
              </w:rPr>
            </w:pPr>
            <w:r w:rsidRPr="00653B90">
              <w:rPr>
                <w:b/>
                <w:sz w:val="20"/>
                <w:szCs w:val="20"/>
              </w:rPr>
              <w:t>Scoring procedures</w:t>
            </w:r>
            <w:r>
              <w:rPr>
                <w:sz w:val="20"/>
                <w:szCs w:val="20"/>
              </w:rPr>
              <w:t>:</w:t>
            </w:r>
          </w:p>
          <w:p w14:paraId="1C9C9817" w14:textId="77777777" w:rsidR="004B0E92" w:rsidRPr="00D35CCE" w:rsidRDefault="004B0E92" w:rsidP="00385738">
            <w:pPr>
              <w:rPr>
                <w:sz w:val="20"/>
                <w:szCs w:val="20"/>
              </w:rPr>
            </w:pPr>
            <w:r>
              <w:rPr>
                <w:sz w:val="20"/>
                <w:szCs w:val="20"/>
              </w:rPr>
              <w:t>The v</w:t>
            </w:r>
            <w:r w:rsidRPr="00D35CCE">
              <w:rPr>
                <w:sz w:val="20"/>
                <w:szCs w:val="20"/>
              </w:rPr>
              <w:t>endor provided a rationale for selection o</w:t>
            </w:r>
            <w:r>
              <w:rPr>
                <w:sz w:val="20"/>
                <w:szCs w:val="20"/>
              </w:rPr>
              <w:t>f IRT models for each item type</w:t>
            </w:r>
            <w:r w:rsidRPr="00D35CCE">
              <w:rPr>
                <w:sz w:val="20"/>
                <w:szCs w:val="20"/>
              </w:rPr>
              <w:t>. Calibration was based on the field test s</w:t>
            </w:r>
            <w:r>
              <w:rPr>
                <w:sz w:val="20"/>
                <w:szCs w:val="20"/>
              </w:rPr>
              <w:t xml:space="preserve">ample and was separate for the four domains. Items with </w:t>
            </w:r>
            <w:r w:rsidRPr="00D35CCE">
              <w:rPr>
                <w:sz w:val="20"/>
                <w:szCs w:val="20"/>
              </w:rPr>
              <w:t xml:space="preserve">misfit were removed. </w:t>
            </w:r>
            <w:r>
              <w:rPr>
                <w:sz w:val="20"/>
                <w:szCs w:val="20"/>
              </w:rPr>
              <w:t xml:space="preserve">The technical manual </w:t>
            </w:r>
            <w:r w:rsidRPr="00D35CCE">
              <w:rPr>
                <w:sz w:val="20"/>
                <w:szCs w:val="20"/>
              </w:rPr>
              <w:t>describes the process but provides no empirical evidence.</w:t>
            </w:r>
          </w:p>
          <w:p w14:paraId="3E8376DC" w14:textId="77777777" w:rsidR="004B0E92" w:rsidRPr="00D35CCE" w:rsidRDefault="004B0E92" w:rsidP="00385738">
            <w:pPr>
              <w:rPr>
                <w:sz w:val="20"/>
                <w:szCs w:val="20"/>
              </w:rPr>
            </w:pPr>
          </w:p>
          <w:p w14:paraId="54739ADB" w14:textId="77777777" w:rsidR="004B0E92" w:rsidRDefault="004B0E92" w:rsidP="00385738">
            <w:pPr>
              <w:rPr>
                <w:sz w:val="20"/>
                <w:szCs w:val="20"/>
              </w:rPr>
            </w:pPr>
            <w:r>
              <w:rPr>
                <w:sz w:val="20"/>
                <w:szCs w:val="20"/>
              </w:rPr>
              <w:t>The v</w:t>
            </w:r>
            <w:r w:rsidRPr="00D35CCE">
              <w:rPr>
                <w:sz w:val="20"/>
                <w:szCs w:val="20"/>
              </w:rPr>
              <w:t>endor describes procedures for locally-driven scoring</w:t>
            </w:r>
            <w:r>
              <w:rPr>
                <w:sz w:val="20"/>
                <w:szCs w:val="20"/>
              </w:rPr>
              <w:t xml:space="preserve">, but it is not clear whether or how MS employs this approach.  </w:t>
            </w:r>
          </w:p>
          <w:p w14:paraId="7208A197" w14:textId="77777777" w:rsidR="004B0E92" w:rsidRDefault="004B0E92" w:rsidP="00385738">
            <w:pPr>
              <w:rPr>
                <w:sz w:val="20"/>
                <w:szCs w:val="20"/>
              </w:rPr>
            </w:pPr>
          </w:p>
          <w:p w14:paraId="502C1C7C" w14:textId="77777777" w:rsidR="004B0E92" w:rsidRPr="00BD534F" w:rsidRDefault="004B0E92" w:rsidP="00385738">
            <w:pPr>
              <w:rPr>
                <w:sz w:val="20"/>
                <w:szCs w:val="20"/>
              </w:rPr>
            </w:pPr>
            <w:r w:rsidRPr="00D35CCE">
              <w:rPr>
                <w:sz w:val="20"/>
                <w:szCs w:val="20"/>
              </w:rPr>
              <w:t>There is evidence of interrater agreement for the human-scored sections of reading and writing</w:t>
            </w:r>
            <w:r>
              <w:rPr>
                <w:sz w:val="20"/>
                <w:szCs w:val="20"/>
              </w:rPr>
              <w:t xml:space="preserve">. While </w:t>
            </w:r>
            <w:r w:rsidRPr="00BD534F">
              <w:rPr>
                <w:sz w:val="20"/>
                <w:szCs w:val="20"/>
              </w:rPr>
              <w:t>IRR stat</w:t>
            </w:r>
            <w:r>
              <w:rPr>
                <w:sz w:val="20"/>
                <w:szCs w:val="20"/>
              </w:rPr>
              <w:t xml:space="preserve">istics were provided, </w:t>
            </w:r>
            <w:r w:rsidRPr="00BD534F">
              <w:rPr>
                <w:sz w:val="20"/>
                <w:szCs w:val="20"/>
              </w:rPr>
              <w:t xml:space="preserve">it is not clear what the score ranges are. For some items, the maximum score is 1, but there is a significant percentage </w:t>
            </w:r>
            <w:r>
              <w:rPr>
                <w:sz w:val="20"/>
                <w:szCs w:val="20"/>
              </w:rPr>
              <w:t xml:space="preserve">of scores assigned </w:t>
            </w:r>
            <w:r w:rsidRPr="00BD534F">
              <w:rPr>
                <w:sz w:val="20"/>
                <w:szCs w:val="20"/>
              </w:rPr>
              <w:t xml:space="preserve">that were discrepant. Some items have as many as 65% of the writing responses being assigned a condition code rather than a score. </w:t>
            </w:r>
            <w:r>
              <w:rPr>
                <w:sz w:val="20"/>
                <w:szCs w:val="20"/>
              </w:rPr>
              <w:t>Depending upon what the condition codes are, this could indicate that there is an issue with the tasks rather than an issue with the scoring. Similarly, s</w:t>
            </w:r>
            <w:r w:rsidRPr="00BD534F">
              <w:rPr>
                <w:sz w:val="20"/>
                <w:szCs w:val="20"/>
              </w:rPr>
              <w:t xml:space="preserve">ome items also have up to 13% discrepant scores. This </w:t>
            </w:r>
            <w:r>
              <w:rPr>
                <w:sz w:val="20"/>
                <w:szCs w:val="20"/>
              </w:rPr>
              <w:t xml:space="preserve">is unusually high for an IRR, and may also indicate issues with </w:t>
            </w:r>
            <w:r w:rsidRPr="00BD534F">
              <w:rPr>
                <w:sz w:val="20"/>
                <w:szCs w:val="20"/>
              </w:rPr>
              <w:t>tasks rather than issues with scorer training.</w:t>
            </w:r>
          </w:p>
          <w:p w14:paraId="474D99FD" w14:textId="77777777" w:rsidR="004B0E92" w:rsidRPr="00BD534F" w:rsidRDefault="004B0E92" w:rsidP="00385738">
            <w:pPr>
              <w:rPr>
                <w:sz w:val="20"/>
                <w:szCs w:val="20"/>
              </w:rPr>
            </w:pPr>
          </w:p>
          <w:p w14:paraId="071949B1" w14:textId="77777777" w:rsidR="004B0E92" w:rsidRPr="00BD534F" w:rsidRDefault="004B0E92" w:rsidP="00385738">
            <w:pPr>
              <w:rPr>
                <w:sz w:val="20"/>
                <w:szCs w:val="20"/>
              </w:rPr>
            </w:pPr>
            <w:r w:rsidRPr="00653B90">
              <w:rPr>
                <w:b/>
                <w:sz w:val="20"/>
                <w:szCs w:val="20"/>
              </w:rPr>
              <w:t>Scaling</w:t>
            </w:r>
            <w:r w:rsidRPr="00BD534F">
              <w:rPr>
                <w:sz w:val="20"/>
                <w:szCs w:val="20"/>
              </w:rPr>
              <w:t>:</w:t>
            </w:r>
          </w:p>
          <w:p w14:paraId="702CC96A" w14:textId="77777777" w:rsidR="004B0E92" w:rsidRDefault="004B0E92" w:rsidP="00385738">
            <w:pPr>
              <w:rPr>
                <w:sz w:val="20"/>
                <w:szCs w:val="20"/>
              </w:rPr>
            </w:pPr>
            <w:r>
              <w:rPr>
                <w:sz w:val="20"/>
                <w:szCs w:val="20"/>
              </w:rPr>
              <w:t>The v</w:t>
            </w:r>
            <w:r w:rsidRPr="00D35CCE">
              <w:rPr>
                <w:sz w:val="20"/>
                <w:szCs w:val="20"/>
              </w:rPr>
              <w:t xml:space="preserve">endor provided a rationale for choice of </w:t>
            </w:r>
            <w:r>
              <w:rPr>
                <w:sz w:val="20"/>
                <w:szCs w:val="20"/>
              </w:rPr>
              <w:t xml:space="preserve">the </w:t>
            </w:r>
            <w:r w:rsidRPr="00D35CCE">
              <w:rPr>
                <w:sz w:val="20"/>
                <w:szCs w:val="20"/>
              </w:rPr>
              <w:t>common scale</w:t>
            </w:r>
            <w:r>
              <w:rPr>
                <w:sz w:val="20"/>
                <w:szCs w:val="20"/>
              </w:rPr>
              <w:t>,</w:t>
            </w:r>
            <w:r w:rsidRPr="00D35CCE">
              <w:rPr>
                <w:sz w:val="20"/>
                <w:szCs w:val="20"/>
              </w:rPr>
              <w:t xml:space="preserve"> and </w:t>
            </w:r>
            <w:r>
              <w:rPr>
                <w:sz w:val="20"/>
                <w:szCs w:val="20"/>
              </w:rPr>
              <w:t xml:space="preserve">the </w:t>
            </w:r>
            <w:r w:rsidRPr="00D35CCE">
              <w:rPr>
                <w:sz w:val="20"/>
                <w:szCs w:val="20"/>
              </w:rPr>
              <w:t>me</w:t>
            </w:r>
            <w:r>
              <w:rPr>
                <w:sz w:val="20"/>
                <w:szCs w:val="20"/>
              </w:rPr>
              <w:t>thod for developing the scale included</w:t>
            </w:r>
            <w:r w:rsidRPr="00D35CCE">
              <w:rPr>
                <w:sz w:val="20"/>
                <w:szCs w:val="20"/>
              </w:rPr>
              <w:t xml:space="preserve"> equivalent sample and common item approaches. </w:t>
            </w:r>
            <w:r>
              <w:rPr>
                <w:sz w:val="20"/>
                <w:szCs w:val="20"/>
              </w:rPr>
              <w:t>The f</w:t>
            </w:r>
            <w:r w:rsidRPr="00D35CCE">
              <w:rPr>
                <w:sz w:val="20"/>
                <w:szCs w:val="20"/>
              </w:rPr>
              <w:t>ield test de</w:t>
            </w:r>
            <w:r>
              <w:rPr>
                <w:sz w:val="20"/>
                <w:szCs w:val="20"/>
              </w:rPr>
              <w:t>sign supported vertical scaling</w:t>
            </w:r>
            <w:r w:rsidRPr="00D35CCE">
              <w:rPr>
                <w:sz w:val="20"/>
                <w:szCs w:val="20"/>
              </w:rPr>
              <w:t xml:space="preserve">. Separate calibration per domain supports evaluation of growth in each domain. </w:t>
            </w:r>
            <w:r>
              <w:rPr>
                <w:sz w:val="20"/>
                <w:szCs w:val="20"/>
              </w:rPr>
              <w:t xml:space="preserve">However, peers </w:t>
            </w:r>
            <w:r w:rsidRPr="00D35CCE">
              <w:rPr>
                <w:sz w:val="20"/>
                <w:szCs w:val="20"/>
              </w:rPr>
              <w:t>could not find information on the process of creating or ev</w:t>
            </w:r>
            <w:r>
              <w:rPr>
                <w:sz w:val="20"/>
                <w:szCs w:val="20"/>
              </w:rPr>
              <w:t>aluating composite scale scores (i.e., overall, oral, comprehension, literacy, and productive).</w:t>
            </w:r>
          </w:p>
          <w:p w14:paraId="0137D79B" w14:textId="77777777" w:rsidR="004B0E92" w:rsidRDefault="004B0E92" w:rsidP="00385738">
            <w:pPr>
              <w:rPr>
                <w:sz w:val="20"/>
                <w:szCs w:val="20"/>
              </w:rPr>
            </w:pPr>
          </w:p>
          <w:p w14:paraId="5656FE98" w14:textId="77777777" w:rsidR="004B0E92" w:rsidRDefault="004B0E92" w:rsidP="00385738">
            <w:pPr>
              <w:rPr>
                <w:sz w:val="20"/>
                <w:szCs w:val="20"/>
              </w:rPr>
            </w:pPr>
            <w:r>
              <w:rPr>
                <w:sz w:val="20"/>
                <w:szCs w:val="20"/>
              </w:rPr>
              <w:t xml:space="preserve">As noted previously, scaling should include more current </w:t>
            </w:r>
            <w:r w:rsidRPr="00D35CCE">
              <w:rPr>
                <w:sz w:val="20"/>
                <w:szCs w:val="20"/>
              </w:rPr>
              <w:t>operational</w:t>
            </w:r>
            <w:r>
              <w:rPr>
                <w:sz w:val="20"/>
                <w:szCs w:val="20"/>
              </w:rPr>
              <w:t xml:space="preserve"> </w:t>
            </w:r>
            <w:r w:rsidRPr="00D35CCE">
              <w:rPr>
                <w:sz w:val="20"/>
                <w:szCs w:val="20"/>
              </w:rPr>
              <w:t>data</w:t>
            </w:r>
            <w:r>
              <w:rPr>
                <w:sz w:val="20"/>
                <w:szCs w:val="20"/>
              </w:rPr>
              <w:t xml:space="preserve"> from the states that use LAS Links. </w:t>
            </w:r>
          </w:p>
          <w:p w14:paraId="6271EA47" w14:textId="77777777" w:rsidR="004B0E92" w:rsidRDefault="004B0E92" w:rsidP="00385738">
            <w:pPr>
              <w:rPr>
                <w:sz w:val="20"/>
                <w:szCs w:val="20"/>
              </w:rPr>
            </w:pPr>
          </w:p>
          <w:p w14:paraId="4735A206" w14:textId="77777777" w:rsidR="004B0E92" w:rsidRPr="00696587" w:rsidRDefault="004B0E92" w:rsidP="00385738">
            <w:pPr>
              <w:rPr>
                <w:sz w:val="20"/>
                <w:szCs w:val="20"/>
              </w:rPr>
            </w:pPr>
            <w:r>
              <w:rPr>
                <w:sz w:val="20"/>
                <w:szCs w:val="20"/>
              </w:rPr>
              <w:t>Achievement s</w:t>
            </w:r>
            <w:r w:rsidRPr="00696587">
              <w:rPr>
                <w:sz w:val="20"/>
                <w:szCs w:val="20"/>
              </w:rPr>
              <w:t xml:space="preserve">tandards were originally set in 2005, and only in Grades </w:t>
            </w:r>
            <w:r>
              <w:rPr>
                <w:sz w:val="20"/>
                <w:szCs w:val="20"/>
              </w:rPr>
              <w:t xml:space="preserve">K, </w:t>
            </w:r>
            <w:r w:rsidRPr="00696587">
              <w:rPr>
                <w:sz w:val="20"/>
                <w:szCs w:val="20"/>
              </w:rPr>
              <w:t xml:space="preserve">2, 4, 7, and 11, according to the Standard Setting Technical Report. </w:t>
            </w:r>
            <w:r>
              <w:rPr>
                <w:sz w:val="20"/>
                <w:szCs w:val="20"/>
              </w:rPr>
              <w:t>Peers could not locate detail regarding why this approach was chosen, nor whether or how the scaling/cuts were</w:t>
            </w:r>
            <w:r w:rsidRPr="00696587">
              <w:rPr>
                <w:sz w:val="20"/>
                <w:szCs w:val="20"/>
              </w:rPr>
              <w:t xml:space="preserve"> applied across all grades</w:t>
            </w:r>
            <w:r>
              <w:rPr>
                <w:sz w:val="20"/>
                <w:szCs w:val="20"/>
              </w:rPr>
              <w:t>/grade bands</w:t>
            </w:r>
            <w:r w:rsidRPr="00696587">
              <w:rPr>
                <w:sz w:val="20"/>
                <w:szCs w:val="20"/>
              </w:rPr>
              <w:t xml:space="preserve">. </w:t>
            </w:r>
            <w:r>
              <w:rPr>
                <w:sz w:val="20"/>
                <w:szCs w:val="20"/>
              </w:rPr>
              <w:t xml:space="preserve">Moreover, as stated in CE 2.1, there appears to be misalignment between TESOL standards and LAS Links in Grades K-3.  </w:t>
            </w:r>
          </w:p>
          <w:p w14:paraId="6F95A029" w14:textId="77777777" w:rsidR="004B0E92" w:rsidRPr="00BD534F" w:rsidRDefault="004B0E92" w:rsidP="00385738">
            <w:pPr>
              <w:rPr>
                <w:sz w:val="20"/>
                <w:szCs w:val="20"/>
              </w:rPr>
            </w:pPr>
          </w:p>
          <w:p w14:paraId="5A2E38E2" w14:textId="77777777" w:rsidR="004B0E92" w:rsidRPr="00653B90" w:rsidRDefault="004B0E92" w:rsidP="00385738">
            <w:pPr>
              <w:rPr>
                <w:b/>
                <w:sz w:val="20"/>
                <w:szCs w:val="20"/>
              </w:rPr>
            </w:pPr>
            <w:r w:rsidRPr="00653B90">
              <w:rPr>
                <w:b/>
                <w:sz w:val="20"/>
                <w:szCs w:val="20"/>
              </w:rPr>
              <w:t>Domain exemption:</w:t>
            </w:r>
          </w:p>
          <w:p w14:paraId="3A4916D6" w14:textId="77777777" w:rsidR="004B0E92" w:rsidRDefault="004B0E92" w:rsidP="00385738">
            <w:pPr>
              <w:rPr>
                <w:sz w:val="20"/>
                <w:szCs w:val="20"/>
              </w:rPr>
            </w:pPr>
            <w:r w:rsidRPr="00D35CCE">
              <w:rPr>
                <w:sz w:val="20"/>
                <w:szCs w:val="20"/>
              </w:rPr>
              <w:t>Peers could not find information in the tech</w:t>
            </w:r>
            <w:r>
              <w:rPr>
                <w:sz w:val="20"/>
                <w:szCs w:val="20"/>
              </w:rPr>
              <w:t>nical</w:t>
            </w:r>
            <w:r w:rsidRPr="00D35CCE">
              <w:rPr>
                <w:sz w:val="20"/>
                <w:szCs w:val="20"/>
              </w:rPr>
              <w:t xml:space="preserve"> manual or interpretation guide (including local scoring section) on vendor instructions for calculating overall proficiency when there is a domain exemption. </w:t>
            </w:r>
          </w:p>
          <w:p w14:paraId="20FDD654" w14:textId="77777777" w:rsidR="004B0E92" w:rsidRPr="00D35CCE" w:rsidRDefault="004B0E92" w:rsidP="00385738">
            <w:pPr>
              <w:rPr>
                <w:sz w:val="20"/>
                <w:szCs w:val="20"/>
              </w:rPr>
            </w:pPr>
          </w:p>
          <w:p w14:paraId="45140C0A" w14:textId="77777777" w:rsidR="004B0E92" w:rsidRPr="00D35CCE" w:rsidRDefault="004B0E92" w:rsidP="00385738">
            <w:pPr>
              <w:rPr>
                <w:sz w:val="20"/>
                <w:szCs w:val="20"/>
              </w:rPr>
            </w:pPr>
            <w:r>
              <w:rPr>
                <w:sz w:val="20"/>
                <w:szCs w:val="20"/>
              </w:rPr>
              <w:t xml:space="preserve">According to </w:t>
            </w:r>
            <w:r w:rsidRPr="00D35CCE">
              <w:rPr>
                <w:sz w:val="20"/>
                <w:szCs w:val="20"/>
              </w:rPr>
              <w:t>MS policy</w:t>
            </w:r>
            <w:r>
              <w:rPr>
                <w:sz w:val="20"/>
                <w:szCs w:val="20"/>
              </w:rPr>
              <w:t>, if</w:t>
            </w:r>
            <w:r w:rsidRPr="00D35CCE">
              <w:rPr>
                <w:sz w:val="20"/>
                <w:szCs w:val="20"/>
              </w:rPr>
              <w:t xml:space="preserve"> an EL cannot be assessed on </w:t>
            </w:r>
            <w:r>
              <w:rPr>
                <w:sz w:val="20"/>
                <w:szCs w:val="20"/>
              </w:rPr>
              <w:t xml:space="preserve">the </w:t>
            </w:r>
            <w:r w:rsidRPr="00D35CCE">
              <w:rPr>
                <w:sz w:val="20"/>
                <w:szCs w:val="20"/>
              </w:rPr>
              <w:t>LAS Links Assessment in one or more domains of the English Language Proficiency Test due to a disability, and there is no appropriate accommodation, the student’s English language proficiency will be based on the domains that can be assessed.</w:t>
            </w:r>
            <w:r>
              <w:rPr>
                <w:sz w:val="20"/>
                <w:szCs w:val="20"/>
              </w:rPr>
              <w:t xml:space="preserve"> However, </w:t>
            </w:r>
            <w:r w:rsidRPr="00D35CCE">
              <w:rPr>
                <w:sz w:val="20"/>
                <w:szCs w:val="20"/>
              </w:rPr>
              <w:t xml:space="preserve">it appears </w:t>
            </w:r>
            <w:r>
              <w:rPr>
                <w:sz w:val="20"/>
                <w:szCs w:val="20"/>
              </w:rPr>
              <w:t xml:space="preserve">that such </w:t>
            </w:r>
            <w:r w:rsidRPr="00D35CCE">
              <w:rPr>
                <w:sz w:val="20"/>
                <w:szCs w:val="20"/>
              </w:rPr>
              <w:t>student</w:t>
            </w:r>
            <w:r>
              <w:rPr>
                <w:sz w:val="20"/>
                <w:szCs w:val="20"/>
              </w:rPr>
              <w:t>s</w:t>
            </w:r>
            <w:r w:rsidRPr="00D35CCE">
              <w:rPr>
                <w:sz w:val="20"/>
                <w:szCs w:val="20"/>
              </w:rPr>
              <w:t xml:space="preserve"> </w:t>
            </w:r>
            <w:r>
              <w:rPr>
                <w:sz w:val="20"/>
                <w:szCs w:val="20"/>
              </w:rPr>
              <w:t xml:space="preserve">do not receive equal benefit, as they </w:t>
            </w:r>
            <w:r w:rsidRPr="00D35CCE">
              <w:rPr>
                <w:sz w:val="20"/>
                <w:szCs w:val="20"/>
              </w:rPr>
              <w:t>cannot be exempted</w:t>
            </w:r>
            <w:r>
              <w:rPr>
                <w:sz w:val="20"/>
                <w:szCs w:val="20"/>
              </w:rPr>
              <w:t xml:space="preserve"> in reading or writing and still exit. This is because all students are r</w:t>
            </w:r>
            <w:r w:rsidRPr="00D35CCE">
              <w:rPr>
                <w:sz w:val="20"/>
                <w:szCs w:val="20"/>
              </w:rPr>
              <w:t>equired to obtain the following proficiency levels on the ELPT</w:t>
            </w:r>
            <w:r>
              <w:rPr>
                <w:sz w:val="20"/>
                <w:szCs w:val="20"/>
              </w:rPr>
              <w:t xml:space="preserve"> in order to exit</w:t>
            </w:r>
            <w:r w:rsidRPr="00D35CCE">
              <w:rPr>
                <w:sz w:val="20"/>
                <w:szCs w:val="20"/>
              </w:rPr>
              <w:t>:</w:t>
            </w:r>
          </w:p>
          <w:p w14:paraId="2D1EA5F7" w14:textId="77777777" w:rsidR="004B0E92" w:rsidRPr="00D35CCE" w:rsidRDefault="004B0E92" w:rsidP="00385738">
            <w:pPr>
              <w:rPr>
                <w:sz w:val="20"/>
                <w:szCs w:val="20"/>
              </w:rPr>
            </w:pPr>
            <w:r w:rsidRPr="00D35CCE">
              <w:rPr>
                <w:sz w:val="20"/>
                <w:szCs w:val="20"/>
              </w:rPr>
              <w:t>a. Overall Proficiency Level 4 or 5, and</w:t>
            </w:r>
          </w:p>
          <w:p w14:paraId="0BD1AF67" w14:textId="77777777" w:rsidR="004B0E92" w:rsidRPr="00D35CCE" w:rsidRDefault="004B0E92" w:rsidP="00385738">
            <w:pPr>
              <w:rPr>
                <w:sz w:val="20"/>
                <w:szCs w:val="20"/>
              </w:rPr>
            </w:pPr>
            <w:r w:rsidRPr="00D35CCE">
              <w:rPr>
                <w:sz w:val="20"/>
                <w:szCs w:val="20"/>
              </w:rPr>
              <w:t>b. Reading Proficiency Level 4 or 5, and</w:t>
            </w:r>
          </w:p>
          <w:p w14:paraId="0642BE84" w14:textId="77777777" w:rsidR="004B0E92" w:rsidRPr="00D35CCE" w:rsidRDefault="004B0E92" w:rsidP="00385738">
            <w:pPr>
              <w:rPr>
                <w:sz w:val="20"/>
                <w:szCs w:val="20"/>
              </w:rPr>
            </w:pPr>
            <w:r w:rsidRPr="00D35CCE">
              <w:rPr>
                <w:sz w:val="20"/>
                <w:szCs w:val="20"/>
              </w:rPr>
              <w:t>c. Writing Proficiency Level 4 or 5.</w:t>
            </w:r>
          </w:p>
          <w:p w14:paraId="499374FE" w14:textId="77777777" w:rsidR="004B0E92" w:rsidRPr="00D35CCE" w:rsidRDefault="004B0E92" w:rsidP="00385738">
            <w:pPr>
              <w:rPr>
                <w:sz w:val="20"/>
                <w:szCs w:val="20"/>
              </w:rPr>
            </w:pPr>
          </w:p>
          <w:p w14:paraId="38FC001A" w14:textId="77777777" w:rsidR="004B0E92" w:rsidRDefault="004B0E92" w:rsidP="00385738">
            <w:pPr>
              <w:rPr>
                <w:sz w:val="20"/>
                <w:szCs w:val="20"/>
              </w:rPr>
            </w:pPr>
            <w:r>
              <w:rPr>
                <w:sz w:val="20"/>
                <w:szCs w:val="20"/>
              </w:rPr>
              <w:t>The v</w:t>
            </w:r>
            <w:r w:rsidRPr="00D35CCE">
              <w:rPr>
                <w:sz w:val="20"/>
                <w:szCs w:val="20"/>
              </w:rPr>
              <w:t xml:space="preserve">endor </w:t>
            </w:r>
            <w:r>
              <w:rPr>
                <w:sz w:val="20"/>
                <w:szCs w:val="20"/>
              </w:rPr>
              <w:t xml:space="preserve">provides </w:t>
            </w:r>
            <w:r w:rsidRPr="00D35CCE">
              <w:rPr>
                <w:sz w:val="20"/>
                <w:szCs w:val="20"/>
              </w:rPr>
              <w:t xml:space="preserve">cautions </w:t>
            </w:r>
            <w:r>
              <w:rPr>
                <w:sz w:val="20"/>
                <w:szCs w:val="20"/>
              </w:rPr>
              <w:t>against interpreting scores as comparable when C</w:t>
            </w:r>
            <w:r w:rsidRPr="00D35CCE">
              <w:rPr>
                <w:sz w:val="20"/>
                <w:szCs w:val="20"/>
              </w:rPr>
              <w:t>ategory 3</w:t>
            </w:r>
            <w:r>
              <w:rPr>
                <w:sz w:val="20"/>
                <w:szCs w:val="20"/>
              </w:rPr>
              <w:t xml:space="preserve"> accommodations are provided. Since b</w:t>
            </w:r>
            <w:r w:rsidRPr="00D35CCE">
              <w:rPr>
                <w:sz w:val="20"/>
                <w:szCs w:val="20"/>
              </w:rPr>
              <w:t>raille</w:t>
            </w:r>
            <w:r>
              <w:rPr>
                <w:sz w:val="20"/>
                <w:szCs w:val="20"/>
              </w:rPr>
              <w:t xml:space="preserve"> and ASL presentation are both C</w:t>
            </w:r>
            <w:r w:rsidRPr="00D35CCE">
              <w:rPr>
                <w:sz w:val="20"/>
                <w:szCs w:val="20"/>
              </w:rPr>
              <w:t>ategory 3 accommodations</w:t>
            </w:r>
            <w:r>
              <w:rPr>
                <w:sz w:val="20"/>
                <w:szCs w:val="20"/>
              </w:rPr>
              <w:t xml:space="preserve">, this raises questions regarding valid score interpretation, fairness, and provision of equal benefits for populations that use these accommodations. </w:t>
            </w:r>
            <w:r w:rsidRPr="00D35CCE">
              <w:rPr>
                <w:sz w:val="20"/>
                <w:szCs w:val="20"/>
              </w:rPr>
              <w:t xml:space="preserve"> </w:t>
            </w:r>
          </w:p>
          <w:p w14:paraId="369CB864" w14:textId="77777777" w:rsidR="004B0E92" w:rsidRPr="00D35CCE" w:rsidRDefault="004B0E92" w:rsidP="00385738">
            <w:pPr>
              <w:rPr>
                <w:sz w:val="20"/>
                <w:szCs w:val="20"/>
              </w:rPr>
            </w:pPr>
          </w:p>
          <w:p w14:paraId="355AB117" w14:textId="77777777" w:rsidR="004B0E92" w:rsidRPr="000D362A" w:rsidRDefault="004B0E92" w:rsidP="00385738">
            <w:pPr>
              <w:rPr>
                <w:sz w:val="20"/>
                <w:szCs w:val="20"/>
              </w:rPr>
            </w:pPr>
            <w:r w:rsidRPr="00BD534F">
              <w:rPr>
                <w:sz w:val="20"/>
                <w:szCs w:val="20"/>
              </w:rPr>
              <w:t>As mentioned previously, there is not an adequate defense of the composite scor</w:t>
            </w:r>
            <w:r>
              <w:rPr>
                <w:sz w:val="20"/>
                <w:szCs w:val="20"/>
              </w:rPr>
              <w:t xml:space="preserve">e, which is an average of the four </w:t>
            </w:r>
            <w:r w:rsidRPr="00BD534F">
              <w:rPr>
                <w:sz w:val="20"/>
                <w:szCs w:val="20"/>
              </w:rPr>
              <w:t>domain</w:t>
            </w:r>
            <w:r>
              <w:rPr>
                <w:sz w:val="20"/>
                <w:szCs w:val="20"/>
              </w:rPr>
              <w:t>s.</w:t>
            </w:r>
          </w:p>
        </w:tc>
      </w:tr>
      <w:tr w:rsidR="004B0E92" w:rsidRPr="00532BBF" w14:paraId="4B157259" w14:textId="77777777" w:rsidTr="00385738">
        <w:tc>
          <w:tcPr>
            <w:tcW w:w="13410" w:type="dxa"/>
            <w:gridSpan w:val="3"/>
            <w:shd w:val="clear" w:color="auto" w:fill="auto"/>
          </w:tcPr>
          <w:p w14:paraId="426C2D5F" w14:textId="77777777" w:rsidR="004B0E92" w:rsidRPr="00532BBF" w:rsidRDefault="004B0E92" w:rsidP="00385738">
            <w:pPr>
              <w:pStyle w:val="Heading4"/>
            </w:pPr>
            <w:r>
              <w:t xml:space="preserve">Section 4.4 </w:t>
            </w:r>
            <w:r w:rsidRPr="00532BBF">
              <w:t>Summary Statement</w:t>
            </w:r>
          </w:p>
        </w:tc>
      </w:tr>
      <w:tr w:rsidR="004B0E92" w:rsidRPr="00532BBF" w14:paraId="38640E37" w14:textId="77777777" w:rsidTr="00385738">
        <w:tc>
          <w:tcPr>
            <w:tcW w:w="13410" w:type="dxa"/>
            <w:gridSpan w:val="3"/>
            <w:shd w:val="clear" w:color="auto" w:fill="auto"/>
          </w:tcPr>
          <w:p w14:paraId="10D09C33" w14:textId="77777777" w:rsidR="004B0E92" w:rsidRPr="00532BBF" w:rsidRDefault="004B0E92" w:rsidP="00385738">
            <w:pPr>
              <w:rPr>
                <w:sz w:val="20"/>
                <w:szCs w:val="20"/>
              </w:rPr>
            </w:pPr>
            <w:r w:rsidRPr="00532BBF">
              <w:rPr>
                <w:sz w:val="20"/>
                <w:szCs w:val="20"/>
              </w:rPr>
              <w:t>___ No additional evidence is required or</w:t>
            </w:r>
          </w:p>
          <w:p w14:paraId="2E04F82A" w14:textId="77777777" w:rsidR="004B0E92" w:rsidRPr="00532BBF" w:rsidRDefault="004B0E92" w:rsidP="00385738">
            <w:pPr>
              <w:rPr>
                <w:sz w:val="20"/>
                <w:szCs w:val="20"/>
              </w:rPr>
            </w:pPr>
          </w:p>
          <w:p w14:paraId="0FB14079" w14:textId="77777777" w:rsidR="004B0E92" w:rsidRPr="00532BBF" w:rsidRDefault="004B0E9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1E0313F0" w14:textId="77777777" w:rsidR="004B0E92" w:rsidRDefault="004B0E92" w:rsidP="008D31CB">
            <w:pPr>
              <w:pStyle w:val="ListParagraph"/>
              <w:numPr>
                <w:ilvl w:val="0"/>
                <w:numId w:val="33"/>
              </w:numPr>
              <w:spacing w:before="80"/>
              <w:ind w:left="247" w:hanging="270"/>
              <w:rPr>
                <w:sz w:val="20"/>
                <w:szCs w:val="20"/>
              </w:rPr>
            </w:pPr>
            <w:r>
              <w:rPr>
                <w:sz w:val="20"/>
                <w:szCs w:val="20"/>
              </w:rPr>
              <w:t>Evidence that t</w:t>
            </w:r>
            <w:r w:rsidRPr="00BE77EB">
              <w:rPr>
                <w:sz w:val="20"/>
                <w:szCs w:val="20"/>
              </w:rPr>
              <w:t xml:space="preserve">he State has </w:t>
            </w:r>
            <w:r>
              <w:rPr>
                <w:sz w:val="20"/>
                <w:szCs w:val="20"/>
              </w:rPr>
              <w:t xml:space="preserve">adequately </w:t>
            </w:r>
            <w:r w:rsidRPr="00BE77EB">
              <w:rPr>
                <w:sz w:val="20"/>
                <w:szCs w:val="20"/>
              </w:rPr>
              <w:t>established and documented standardized scoring procedures and protocols for its assessments</w:t>
            </w:r>
            <w:r>
              <w:rPr>
                <w:sz w:val="20"/>
                <w:szCs w:val="20"/>
              </w:rPr>
              <w:t xml:space="preserve">; including </w:t>
            </w:r>
            <w:r w:rsidRPr="00BE77EB">
              <w:rPr>
                <w:sz w:val="20"/>
                <w:szCs w:val="20"/>
              </w:rPr>
              <w:t>domain and composite scores that are designed to produce r</w:t>
            </w:r>
            <w:r>
              <w:rPr>
                <w:sz w:val="20"/>
                <w:szCs w:val="20"/>
              </w:rPr>
              <w:t xml:space="preserve">eliable and meaningful results; </w:t>
            </w:r>
            <w:r w:rsidRPr="00BE77EB">
              <w:rPr>
                <w:sz w:val="20"/>
                <w:szCs w:val="20"/>
              </w:rPr>
              <w:t>facilitate valid score interpretations</w:t>
            </w:r>
            <w:r>
              <w:rPr>
                <w:sz w:val="20"/>
                <w:szCs w:val="20"/>
              </w:rPr>
              <w:t>;</w:t>
            </w:r>
            <w:r w:rsidRPr="00BE77EB">
              <w:rPr>
                <w:sz w:val="20"/>
                <w:szCs w:val="20"/>
              </w:rPr>
              <w:t xml:space="preserve"> and report assessment results in terms of the State’s</w:t>
            </w:r>
            <w:r w:rsidRPr="00BE77EB">
              <w:rPr>
                <w:sz w:val="20"/>
              </w:rPr>
              <w:t xml:space="preserve"> </w:t>
            </w:r>
            <w:r>
              <w:rPr>
                <w:sz w:val="20"/>
                <w:szCs w:val="20"/>
              </w:rPr>
              <w:t>ELP standards;</w:t>
            </w:r>
          </w:p>
          <w:p w14:paraId="77209794" w14:textId="77777777" w:rsidR="004B0E92" w:rsidRPr="006811EA" w:rsidRDefault="004B0E92" w:rsidP="008D31CB">
            <w:pPr>
              <w:pStyle w:val="ListParagraph"/>
              <w:numPr>
                <w:ilvl w:val="0"/>
                <w:numId w:val="33"/>
              </w:numPr>
              <w:spacing w:before="80"/>
              <w:ind w:left="247" w:hanging="270"/>
              <w:rPr>
                <w:sz w:val="20"/>
                <w:szCs w:val="20"/>
              </w:rPr>
            </w:pPr>
            <w:r>
              <w:rPr>
                <w:sz w:val="20"/>
                <w:szCs w:val="20"/>
              </w:rPr>
              <w:t xml:space="preserve">Evidence for calculating the overall proficiency of </w:t>
            </w:r>
            <w:r w:rsidRPr="00BE77EB">
              <w:rPr>
                <w:sz w:val="20"/>
                <w:szCs w:val="20"/>
              </w:rPr>
              <w:t>English learner</w:t>
            </w:r>
            <w:r>
              <w:rPr>
                <w:sz w:val="20"/>
                <w:szCs w:val="20"/>
              </w:rPr>
              <w:t>s with</w:t>
            </w:r>
            <w:r w:rsidRPr="00BE77EB">
              <w:rPr>
                <w:sz w:val="20"/>
                <w:szCs w:val="20"/>
              </w:rPr>
              <w:t xml:space="preserve"> a disability that precludes assessment of the student in one or more of the required domains/components (listening, s</w:t>
            </w:r>
            <w:r>
              <w:rPr>
                <w:sz w:val="20"/>
                <w:szCs w:val="20"/>
              </w:rPr>
              <w:t>peaking, reading, and writing); and that such results yield reliable and meaningful results that support exit decisions and other equal benefits</w:t>
            </w:r>
            <w:r w:rsidRPr="006811EA">
              <w:rPr>
                <w:sz w:val="20"/>
                <w:szCs w:val="20"/>
              </w:rPr>
              <w:t xml:space="preserve"> </w:t>
            </w:r>
          </w:p>
        </w:tc>
      </w:tr>
    </w:tbl>
    <w:p w14:paraId="71821AC9" w14:textId="77777777" w:rsidR="004B0E92" w:rsidRDefault="004B0E92" w:rsidP="004B0E92">
      <w:pPr>
        <w:rPr>
          <w:b/>
          <w:sz w:val="20"/>
          <w:szCs w:val="20"/>
        </w:rPr>
      </w:pPr>
    </w:p>
    <w:p w14:paraId="274A83D0" w14:textId="77777777" w:rsidR="004B0E92" w:rsidRDefault="004B0E92" w:rsidP="004B0E92">
      <w:pPr>
        <w:pStyle w:val="Heading2"/>
      </w:pPr>
      <w:r>
        <w:br w:type="page"/>
      </w:r>
      <w:bookmarkStart w:id="30" w:name="_Toc3354976"/>
      <w:r w:rsidRPr="009E6181">
        <w:t>Critical Element 4.5 – Multiple Assessment Forms</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2DD1F5ED"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70AF8087"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7E29D34"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BB58591"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6D93CD0A" w14:textId="77777777" w:rsidTr="00385738">
        <w:tc>
          <w:tcPr>
            <w:tcW w:w="3618" w:type="dxa"/>
            <w:shd w:val="clear" w:color="auto" w:fill="auto"/>
          </w:tcPr>
          <w:p w14:paraId="6AD44E73" w14:textId="77777777" w:rsidR="004B0E92" w:rsidRPr="002313D0" w:rsidRDefault="004B0E92" w:rsidP="00385738">
            <w:pPr>
              <w:rPr>
                <w:sz w:val="20"/>
                <w:szCs w:val="20"/>
              </w:rPr>
            </w:pPr>
            <w:r w:rsidRPr="006811EA">
              <w:rPr>
                <w:sz w:val="20"/>
                <w:szCs w:val="20"/>
              </w:rPr>
              <w:t xml:space="preserve">If the State administers multiple forms of </w:t>
            </w:r>
            <w:r w:rsidRPr="006811EA">
              <w:rPr>
                <w:b/>
                <w:i/>
                <w:sz w:val="20"/>
                <w:szCs w:val="20"/>
              </w:rPr>
              <w:t>ELP assessments</w:t>
            </w:r>
            <w:r w:rsidRPr="006811EA">
              <w:rPr>
                <w:sz w:val="20"/>
                <w:szCs w:val="20"/>
              </w:rPr>
              <w:t xml:space="preserve"> within or across grade-spans, ELP levels, or school years, the State ensures that all forms adequately represent the State’s </w:t>
            </w:r>
            <w:r w:rsidRPr="006811EA">
              <w:rPr>
                <w:b/>
                <w:i/>
                <w:sz w:val="20"/>
                <w:szCs w:val="20"/>
              </w:rPr>
              <w:t>ELP standards</w:t>
            </w:r>
            <w:r w:rsidRPr="006811EA">
              <w:rPr>
                <w:sz w:val="20"/>
                <w:szCs w:val="20"/>
              </w:rPr>
              <w:t xml:space="preserve"> and yield consistent score interpretations such that the forms are comparable within and across settings.</w:t>
            </w:r>
          </w:p>
          <w:p w14:paraId="6DD28B4F" w14:textId="77777777" w:rsidR="004B0E92" w:rsidRPr="0077197F" w:rsidRDefault="004B0E92" w:rsidP="00385738">
            <w:pPr>
              <w:rPr>
                <w:sz w:val="20"/>
                <w:szCs w:val="20"/>
              </w:rPr>
            </w:pPr>
          </w:p>
        </w:tc>
        <w:tc>
          <w:tcPr>
            <w:tcW w:w="4779" w:type="dxa"/>
            <w:shd w:val="clear" w:color="auto" w:fill="auto"/>
          </w:tcPr>
          <w:p w14:paraId="41374784"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DRC LAS Links® Second</w:t>
            </w:r>
          </w:p>
          <w:p w14:paraId="00BF6980"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Edition, Forms C and D Technical Manual, 2018, Chapter 4 (pgs. 46-52)</w:t>
            </w:r>
          </w:p>
          <w:p w14:paraId="4A3EFF1C" w14:textId="77777777" w:rsidR="004B0E92" w:rsidRDefault="004B0E92" w:rsidP="00385738">
            <w:pPr>
              <w:autoSpaceDE w:val="0"/>
              <w:autoSpaceDN w:val="0"/>
              <w:adjustRightInd w:val="0"/>
              <w:rPr>
                <w:rFonts w:eastAsiaTheme="minorHAnsi"/>
                <w:sz w:val="20"/>
                <w:szCs w:val="20"/>
              </w:rPr>
            </w:pPr>
          </w:p>
          <w:p w14:paraId="6DCDA412" w14:textId="77777777" w:rsidR="004B0E92" w:rsidRPr="001156E3" w:rsidRDefault="004B0E92" w:rsidP="00385738">
            <w:pPr>
              <w:autoSpaceDE w:val="0"/>
              <w:autoSpaceDN w:val="0"/>
              <w:adjustRightInd w:val="0"/>
              <w:rPr>
                <w:rFonts w:eastAsiaTheme="minorHAnsi"/>
                <w:sz w:val="20"/>
                <w:szCs w:val="20"/>
              </w:rPr>
            </w:pPr>
          </w:p>
        </w:tc>
        <w:tc>
          <w:tcPr>
            <w:tcW w:w="5013" w:type="dxa"/>
            <w:shd w:val="clear" w:color="auto" w:fill="auto"/>
          </w:tcPr>
          <w:p w14:paraId="051C361C" w14:textId="77777777" w:rsidR="004B0E92" w:rsidRPr="006811EA" w:rsidRDefault="004B0E92" w:rsidP="00385738">
            <w:pPr>
              <w:rPr>
                <w:sz w:val="20"/>
                <w:szCs w:val="20"/>
              </w:rPr>
            </w:pPr>
            <w:r w:rsidRPr="006811EA">
              <w:rPr>
                <w:sz w:val="20"/>
                <w:szCs w:val="20"/>
              </w:rPr>
              <w:t xml:space="preserve">The LAS Links </w:t>
            </w:r>
            <w:r>
              <w:rPr>
                <w:sz w:val="20"/>
                <w:szCs w:val="20"/>
              </w:rPr>
              <w:t>field test design incorporated three</w:t>
            </w:r>
            <w:r w:rsidRPr="006811EA">
              <w:rPr>
                <w:sz w:val="20"/>
                <w:szCs w:val="20"/>
              </w:rPr>
              <w:t xml:space="preserve"> approaches to support linking forms C and D to the existing scale</w:t>
            </w:r>
            <w:r>
              <w:rPr>
                <w:sz w:val="20"/>
                <w:szCs w:val="20"/>
              </w:rPr>
              <w:t>: anchor subtests; forms with all subtests;</w:t>
            </w:r>
            <w:r w:rsidRPr="006811EA">
              <w:rPr>
                <w:sz w:val="20"/>
                <w:szCs w:val="20"/>
              </w:rPr>
              <w:t xml:space="preserve"> and subtests from adjacent levels. </w:t>
            </w:r>
            <w:r>
              <w:rPr>
                <w:sz w:val="20"/>
                <w:szCs w:val="20"/>
              </w:rPr>
              <w:t xml:space="preserve">The technical manual provides only general information on the process, but no empirical evidence could be found. </w:t>
            </w:r>
          </w:p>
          <w:p w14:paraId="2654957C" w14:textId="77777777" w:rsidR="004B0E92" w:rsidRPr="006811EA" w:rsidRDefault="004B0E92" w:rsidP="00385738">
            <w:pPr>
              <w:rPr>
                <w:sz w:val="20"/>
                <w:szCs w:val="20"/>
              </w:rPr>
            </w:pPr>
          </w:p>
          <w:p w14:paraId="15F76A33" w14:textId="77777777" w:rsidR="004B0E92" w:rsidRPr="006811EA" w:rsidRDefault="004B0E92" w:rsidP="00385738">
            <w:pPr>
              <w:rPr>
                <w:sz w:val="20"/>
                <w:szCs w:val="20"/>
              </w:rPr>
            </w:pPr>
            <w:r w:rsidRPr="006811EA">
              <w:rPr>
                <w:sz w:val="20"/>
                <w:szCs w:val="20"/>
              </w:rPr>
              <w:t xml:space="preserve">It is not clear how the two forms are currently used in MS, nor how the third form will be implemented. If they are used in alternating years, students not exiting in 6-8 or 9-12 would see the same form twice in 6-8 and twice in 9-12. This is addressed in </w:t>
            </w:r>
            <w:r>
              <w:rPr>
                <w:sz w:val="20"/>
                <w:szCs w:val="20"/>
              </w:rPr>
              <w:t xml:space="preserve">CE </w:t>
            </w:r>
            <w:r w:rsidRPr="006811EA">
              <w:rPr>
                <w:sz w:val="20"/>
                <w:szCs w:val="20"/>
              </w:rPr>
              <w:t>2.5 as an issue with test security.</w:t>
            </w:r>
          </w:p>
          <w:p w14:paraId="4FB1EA30" w14:textId="77777777" w:rsidR="004B0E92" w:rsidRPr="006811EA" w:rsidRDefault="004B0E92" w:rsidP="00385738">
            <w:pPr>
              <w:rPr>
                <w:sz w:val="20"/>
                <w:szCs w:val="20"/>
              </w:rPr>
            </w:pPr>
          </w:p>
          <w:p w14:paraId="77720E19" w14:textId="77777777" w:rsidR="004B0E92" w:rsidRPr="0077197F" w:rsidRDefault="004B0E92" w:rsidP="00385738">
            <w:pPr>
              <w:rPr>
                <w:sz w:val="20"/>
                <w:szCs w:val="20"/>
              </w:rPr>
            </w:pPr>
            <w:r w:rsidRPr="006811EA">
              <w:rPr>
                <w:sz w:val="20"/>
                <w:szCs w:val="20"/>
              </w:rPr>
              <w:t xml:space="preserve">Peers recommend that the </w:t>
            </w:r>
            <w:r>
              <w:rPr>
                <w:sz w:val="20"/>
                <w:szCs w:val="20"/>
              </w:rPr>
              <w:t xml:space="preserve">state </w:t>
            </w:r>
            <w:r w:rsidRPr="006811EA">
              <w:rPr>
                <w:sz w:val="20"/>
                <w:szCs w:val="20"/>
              </w:rPr>
              <w:t xml:space="preserve">not rely solely on </w:t>
            </w:r>
            <w:r>
              <w:rPr>
                <w:sz w:val="20"/>
                <w:szCs w:val="20"/>
              </w:rPr>
              <w:t xml:space="preserve">the vendor’s </w:t>
            </w:r>
            <w:r w:rsidRPr="006811EA">
              <w:rPr>
                <w:sz w:val="20"/>
                <w:szCs w:val="20"/>
              </w:rPr>
              <w:t>2011-12 field test data to place the forms onto the same scale.</w:t>
            </w:r>
          </w:p>
        </w:tc>
      </w:tr>
      <w:tr w:rsidR="004B0E92" w:rsidRPr="00532BBF" w14:paraId="2F96482A" w14:textId="77777777" w:rsidTr="00385738">
        <w:tc>
          <w:tcPr>
            <w:tcW w:w="13410" w:type="dxa"/>
            <w:gridSpan w:val="3"/>
            <w:shd w:val="clear" w:color="auto" w:fill="auto"/>
          </w:tcPr>
          <w:p w14:paraId="5A2DF17E" w14:textId="77777777" w:rsidR="004B0E92" w:rsidRPr="00532BBF" w:rsidRDefault="004B0E92" w:rsidP="00385738">
            <w:pPr>
              <w:pStyle w:val="Heading4"/>
            </w:pPr>
            <w:r>
              <w:t xml:space="preserve">Section 4.5 </w:t>
            </w:r>
            <w:r w:rsidRPr="00532BBF">
              <w:t>Summary Statement</w:t>
            </w:r>
          </w:p>
        </w:tc>
      </w:tr>
      <w:tr w:rsidR="004B0E92" w:rsidRPr="00532BBF" w14:paraId="4E20E8EA" w14:textId="77777777" w:rsidTr="00385738">
        <w:tc>
          <w:tcPr>
            <w:tcW w:w="13410" w:type="dxa"/>
            <w:gridSpan w:val="3"/>
            <w:shd w:val="clear" w:color="auto" w:fill="auto"/>
          </w:tcPr>
          <w:p w14:paraId="335B417C" w14:textId="77777777" w:rsidR="004B0E92" w:rsidRPr="00532BBF" w:rsidRDefault="004B0E92" w:rsidP="00385738">
            <w:pPr>
              <w:rPr>
                <w:sz w:val="20"/>
                <w:szCs w:val="20"/>
              </w:rPr>
            </w:pPr>
            <w:r w:rsidRPr="00532BBF">
              <w:rPr>
                <w:sz w:val="20"/>
                <w:szCs w:val="20"/>
              </w:rPr>
              <w:t>___ No additional evidence is required or</w:t>
            </w:r>
          </w:p>
          <w:p w14:paraId="4EEBFDCC" w14:textId="77777777" w:rsidR="004B0E92" w:rsidRPr="00532BBF" w:rsidRDefault="004B0E92" w:rsidP="00385738">
            <w:pPr>
              <w:rPr>
                <w:sz w:val="20"/>
                <w:szCs w:val="20"/>
              </w:rPr>
            </w:pPr>
          </w:p>
          <w:p w14:paraId="4E746D73" w14:textId="77777777" w:rsidR="004B0E92" w:rsidRPr="00532BBF" w:rsidRDefault="004B0E9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6397B5A8" w14:textId="77777777" w:rsidR="004B0E92" w:rsidRPr="00532BBF" w:rsidRDefault="004B0E92" w:rsidP="008D31CB">
            <w:pPr>
              <w:numPr>
                <w:ilvl w:val="0"/>
                <w:numId w:val="3"/>
              </w:numPr>
              <w:ind w:left="720"/>
              <w:rPr>
                <w:sz w:val="20"/>
                <w:szCs w:val="20"/>
              </w:rPr>
            </w:pPr>
            <w:r>
              <w:rPr>
                <w:sz w:val="20"/>
                <w:szCs w:val="20"/>
              </w:rPr>
              <w:t>Empirical evidence on linking of current forms and any additional forms to be developed</w:t>
            </w:r>
          </w:p>
        </w:tc>
      </w:tr>
    </w:tbl>
    <w:p w14:paraId="5F942EA6" w14:textId="77777777" w:rsidR="004B0E92" w:rsidRDefault="004B0E92" w:rsidP="004B0E92"/>
    <w:p w14:paraId="52CE87BF" w14:textId="77777777" w:rsidR="004B0E92" w:rsidRDefault="004B0E92" w:rsidP="004B0E92">
      <w:pPr>
        <w:pStyle w:val="Heading2"/>
      </w:pPr>
      <w:r>
        <w:br w:type="page"/>
      </w:r>
      <w:bookmarkStart w:id="31" w:name="_Toc3354977"/>
      <w:r w:rsidRPr="009E6181">
        <w:t>Critical Element 4.6 – Multiple Versions of an Assessment</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0105C125"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583A8460"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7F5367B"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5380431"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138DC2BF" w14:textId="77777777" w:rsidTr="00385738">
        <w:tc>
          <w:tcPr>
            <w:tcW w:w="3618" w:type="dxa"/>
            <w:shd w:val="clear" w:color="auto" w:fill="auto"/>
          </w:tcPr>
          <w:p w14:paraId="54CF46F0" w14:textId="77777777" w:rsidR="004B0E92" w:rsidRPr="006273FC" w:rsidRDefault="004B0E92" w:rsidP="00385738">
            <w:pPr>
              <w:spacing w:before="80"/>
              <w:rPr>
                <w:sz w:val="20"/>
              </w:rPr>
            </w:pPr>
            <w:r w:rsidRPr="006273FC">
              <w:rPr>
                <w:sz w:val="20"/>
              </w:rPr>
              <w:t>If the State administers any of its assessments in multiple versions within a subject area (e.g., online versus paper-based delivery), grade level, or school year, the State:</w:t>
            </w:r>
          </w:p>
          <w:p w14:paraId="2EE13C42" w14:textId="77777777" w:rsidR="004B0E92" w:rsidRPr="006273FC" w:rsidRDefault="004B0E92" w:rsidP="008D31CB">
            <w:pPr>
              <w:pStyle w:val="ListParagraph"/>
              <w:numPr>
                <w:ilvl w:val="0"/>
                <w:numId w:val="18"/>
              </w:numPr>
              <w:rPr>
                <w:sz w:val="20"/>
              </w:rPr>
            </w:pPr>
            <w:r w:rsidRPr="006273FC">
              <w:rPr>
                <w:sz w:val="20"/>
              </w:rPr>
              <w:t>Followed a design and development process to support comparable interpretations of results for students tested across the versions of the assessments;</w:t>
            </w:r>
          </w:p>
          <w:p w14:paraId="11D17178" w14:textId="77777777" w:rsidR="004B0E92" w:rsidRPr="006273FC" w:rsidRDefault="004B0E92" w:rsidP="008D31CB">
            <w:pPr>
              <w:pStyle w:val="ListParagraph"/>
              <w:numPr>
                <w:ilvl w:val="0"/>
                <w:numId w:val="18"/>
              </w:numPr>
              <w:rPr>
                <w:sz w:val="20"/>
              </w:rPr>
            </w:pPr>
            <w:r w:rsidRPr="006273FC">
              <w:rPr>
                <w:sz w:val="20"/>
              </w:rPr>
              <w:t>Documented adequate evidence of comparability of the meaning and interpretations of the assessment results.</w:t>
            </w:r>
          </w:p>
          <w:p w14:paraId="2AFAB2A1" w14:textId="77777777" w:rsidR="004B0E92" w:rsidRPr="0077197F" w:rsidRDefault="004B0E92" w:rsidP="00385738">
            <w:pPr>
              <w:rPr>
                <w:sz w:val="20"/>
              </w:rPr>
            </w:pPr>
          </w:p>
        </w:tc>
        <w:tc>
          <w:tcPr>
            <w:tcW w:w="4779" w:type="dxa"/>
            <w:shd w:val="clear" w:color="auto" w:fill="auto"/>
          </w:tcPr>
          <w:p w14:paraId="6EA3A081" w14:textId="77777777" w:rsidR="004B0E92" w:rsidRDefault="004B0E92" w:rsidP="00385738">
            <w:pPr>
              <w:pStyle w:val="ListParagraph"/>
              <w:ind w:left="0"/>
              <w:rPr>
                <w:sz w:val="20"/>
                <w:szCs w:val="20"/>
              </w:rPr>
            </w:pPr>
          </w:p>
          <w:p w14:paraId="165162C9" w14:textId="77777777" w:rsidR="004B0E92" w:rsidRDefault="004B0E92" w:rsidP="00385738">
            <w:pPr>
              <w:pStyle w:val="ListParagraph"/>
              <w:ind w:left="0"/>
              <w:rPr>
                <w:sz w:val="20"/>
                <w:szCs w:val="20"/>
              </w:rPr>
            </w:pPr>
          </w:p>
          <w:p w14:paraId="4B477E7A" w14:textId="77777777" w:rsidR="004B0E92" w:rsidRPr="0077197F" w:rsidRDefault="004B0E92" w:rsidP="00385738">
            <w:pPr>
              <w:pStyle w:val="ListParagraph"/>
              <w:ind w:left="0"/>
              <w:rPr>
                <w:sz w:val="20"/>
                <w:szCs w:val="20"/>
              </w:rPr>
            </w:pPr>
          </w:p>
        </w:tc>
        <w:tc>
          <w:tcPr>
            <w:tcW w:w="5013" w:type="dxa"/>
            <w:shd w:val="clear" w:color="auto" w:fill="auto"/>
          </w:tcPr>
          <w:p w14:paraId="10CBF6C6" w14:textId="77777777" w:rsidR="004B0E92" w:rsidRDefault="004B0E92" w:rsidP="00385738">
            <w:pPr>
              <w:autoSpaceDE w:val="0"/>
              <w:autoSpaceDN w:val="0"/>
              <w:adjustRightInd w:val="0"/>
              <w:rPr>
                <w:color w:val="0070C0"/>
                <w:sz w:val="20"/>
                <w:szCs w:val="20"/>
              </w:rPr>
            </w:pPr>
            <w:r w:rsidRPr="006273FC">
              <w:rPr>
                <w:sz w:val="20"/>
                <w:szCs w:val="20"/>
              </w:rPr>
              <w:t xml:space="preserve">Peers </w:t>
            </w:r>
            <w:r>
              <w:rPr>
                <w:sz w:val="20"/>
                <w:szCs w:val="20"/>
              </w:rPr>
              <w:t>recommend that the research agenda include all aspects of requirements for this CE, including, but not limited to, online vs paper, and evidence to support device comparability. To the extent possible, research should include studies on braille form comparability.</w:t>
            </w:r>
          </w:p>
          <w:p w14:paraId="7BC6C558" w14:textId="77777777" w:rsidR="004B0E92" w:rsidRPr="00E27E18" w:rsidRDefault="004B0E92" w:rsidP="00385738">
            <w:pPr>
              <w:autoSpaceDE w:val="0"/>
              <w:autoSpaceDN w:val="0"/>
              <w:adjustRightInd w:val="0"/>
              <w:rPr>
                <w:rFonts w:eastAsiaTheme="minorHAnsi"/>
                <w:sz w:val="20"/>
                <w:szCs w:val="20"/>
              </w:rPr>
            </w:pPr>
          </w:p>
        </w:tc>
      </w:tr>
      <w:tr w:rsidR="004B0E92" w:rsidRPr="00532BBF" w14:paraId="5F59641F" w14:textId="77777777" w:rsidTr="00385738">
        <w:tc>
          <w:tcPr>
            <w:tcW w:w="13410" w:type="dxa"/>
            <w:gridSpan w:val="3"/>
            <w:shd w:val="clear" w:color="auto" w:fill="auto"/>
          </w:tcPr>
          <w:p w14:paraId="4074E3F1" w14:textId="77777777" w:rsidR="004B0E92" w:rsidRPr="00532BBF" w:rsidRDefault="004B0E92" w:rsidP="00385738">
            <w:pPr>
              <w:pStyle w:val="Heading4"/>
            </w:pPr>
            <w:r>
              <w:t xml:space="preserve">Section 4.6 </w:t>
            </w:r>
            <w:r w:rsidRPr="00532BBF">
              <w:t>Summary Statement</w:t>
            </w:r>
          </w:p>
        </w:tc>
      </w:tr>
      <w:tr w:rsidR="004B0E92" w:rsidRPr="00532BBF" w14:paraId="511EFA97" w14:textId="77777777" w:rsidTr="00385738">
        <w:tc>
          <w:tcPr>
            <w:tcW w:w="13410" w:type="dxa"/>
            <w:gridSpan w:val="3"/>
            <w:shd w:val="clear" w:color="auto" w:fill="auto"/>
          </w:tcPr>
          <w:p w14:paraId="0362F5B9" w14:textId="77777777" w:rsidR="004B0E92" w:rsidRPr="00532BBF" w:rsidRDefault="004B0E92" w:rsidP="00385738">
            <w:pPr>
              <w:rPr>
                <w:sz w:val="20"/>
                <w:szCs w:val="20"/>
              </w:rPr>
            </w:pPr>
            <w:r w:rsidRPr="00532BBF">
              <w:rPr>
                <w:sz w:val="20"/>
                <w:szCs w:val="20"/>
              </w:rPr>
              <w:t>___ No additional evidence is required or</w:t>
            </w:r>
          </w:p>
          <w:p w14:paraId="0679625F" w14:textId="77777777" w:rsidR="004B0E92" w:rsidRPr="00532BBF" w:rsidRDefault="004B0E92" w:rsidP="00385738">
            <w:pPr>
              <w:rPr>
                <w:sz w:val="20"/>
                <w:szCs w:val="20"/>
              </w:rPr>
            </w:pPr>
          </w:p>
          <w:p w14:paraId="79BF97C5" w14:textId="77777777" w:rsidR="004B0E92" w:rsidRPr="00532BBF" w:rsidRDefault="004B0E9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462E68C9" w14:textId="77777777" w:rsidR="004B0E92" w:rsidRPr="006273FC" w:rsidRDefault="004B0E92" w:rsidP="008D31CB">
            <w:pPr>
              <w:pStyle w:val="ListParagraph"/>
              <w:numPr>
                <w:ilvl w:val="0"/>
                <w:numId w:val="18"/>
              </w:numPr>
              <w:rPr>
                <w:sz w:val="20"/>
              </w:rPr>
            </w:pPr>
            <w:r>
              <w:rPr>
                <w:sz w:val="20"/>
                <w:szCs w:val="20"/>
              </w:rPr>
              <w:t xml:space="preserve">Evidence of </w:t>
            </w:r>
            <w:r w:rsidRPr="006273FC">
              <w:rPr>
                <w:sz w:val="20"/>
              </w:rPr>
              <w:t>a design and development process to support comparable interpretations of result</w:t>
            </w:r>
            <w:r>
              <w:rPr>
                <w:sz w:val="20"/>
              </w:rPr>
              <w:t>s for students tested across different</w:t>
            </w:r>
            <w:r w:rsidRPr="006273FC">
              <w:rPr>
                <w:sz w:val="20"/>
              </w:rPr>
              <w:t xml:space="preserve"> versions of the assessments;</w:t>
            </w:r>
          </w:p>
          <w:p w14:paraId="7D76C98C" w14:textId="77777777" w:rsidR="004B0E92" w:rsidRPr="00532BBF" w:rsidRDefault="004B0E92" w:rsidP="008D31CB">
            <w:pPr>
              <w:pStyle w:val="ListParagraph"/>
              <w:numPr>
                <w:ilvl w:val="0"/>
                <w:numId w:val="18"/>
              </w:numPr>
              <w:rPr>
                <w:sz w:val="20"/>
                <w:szCs w:val="20"/>
              </w:rPr>
            </w:pPr>
            <w:r w:rsidRPr="006273FC">
              <w:rPr>
                <w:sz w:val="20"/>
              </w:rPr>
              <w:t>Evidence of comparability of the meaning and interpretations of the assessment results for multiple versions of the assessments, including paper, online, and accommodated for</w:t>
            </w:r>
            <w:r>
              <w:rPr>
                <w:sz w:val="20"/>
              </w:rPr>
              <w:t>ms, to the extent possible based on n-sizes</w:t>
            </w:r>
          </w:p>
        </w:tc>
      </w:tr>
    </w:tbl>
    <w:p w14:paraId="2C806114" w14:textId="77777777" w:rsidR="004B0E92" w:rsidRDefault="004B0E92" w:rsidP="004B0E92"/>
    <w:p w14:paraId="5418F729" w14:textId="77777777" w:rsidR="004B0E92" w:rsidRDefault="004B0E92" w:rsidP="004B0E92"/>
    <w:p w14:paraId="5CCEB0E4" w14:textId="77777777" w:rsidR="004B0E92" w:rsidRDefault="004B0E92" w:rsidP="004B0E92">
      <w:pPr>
        <w:pStyle w:val="Heading2"/>
      </w:pPr>
      <w:r>
        <w:br w:type="page"/>
      </w:r>
      <w:bookmarkStart w:id="32" w:name="_Toc3354978"/>
      <w:r w:rsidRPr="000E1466">
        <w:t>Critical Element 4.7 – Technical Analysis and Ongoing Maintenance</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39315E07" w14:textId="77777777" w:rsidTr="00385738">
        <w:trPr>
          <w:trHeight w:val="620"/>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065023C"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E135E63"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818C45A"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029058DB" w14:textId="77777777" w:rsidTr="00385738">
        <w:tc>
          <w:tcPr>
            <w:tcW w:w="3618" w:type="dxa"/>
            <w:shd w:val="clear" w:color="auto" w:fill="auto"/>
          </w:tcPr>
          <w:p w14:paraId="35F10843" w14:textId="77777777" w:rsidR="004B0E92" w:rsidRPr="002313D0" w:rsidRDefault="004B0E92" w:rsidP="00385738">
            <w:pPr>
              <w:spacing w:before="80"/>
              <w:rPr>
                <w:sz w:val="20"/>
                <w:szCs w:val="20"/>
              </w:rPr>
            </w:pPr>
            <w:r w:rsidRPr="002313D0">
              <w:rPr>
                <w:sz w:val="20"/>
                <w:szCs w:val="20"/>
              </w:rPr>
              <w:t>The State:</w:t>
            </w:r>
          </w:p>
          <w:p w14:paraId="7AD6C462" w14:textId="77777777" w:rsidR="004B0E92" w:rsidRPr="005C2371" w:rsidRDefault="004B0E92" w:rsidP="008D31CB">
            <w:pPr>
              <w:pStyle w:val="ListParagraph"/>
              <w:numPr>
                <w:ilvl w:val="0"/>
                <w:numId w:val="22"/>
              </w:numPr>
              <w:rPr>
                <w:sz w:val="20"/>
                <w:szCs w:val="20"/>
              </w:rPr>
            </w:pPr>
            <w:r w:rsidRPr="005C2371">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1C38DFD6" w14:textId="77777777" w:rsidR="004B0E92" w:rsidRPr="0077197F" w:rsidRDefault="004B0E92" w:rsidP="008D31CB">
            <w:pPr>
              <w:pStyle w:val="ListParagraph"/>
              <w:numPr>
                <w:ilvl w:val="0"/>
                <w:numId w:val="22"/>
              </w:numPr>
              <w:rPr>
                <w:sz w:val="20"/>
                <w:szCs w:val="20"/>
              </w:rPr>
            </w:pPr>
            <w:r w:rsidRPr="005C2371">
              <w:rPr>
                <w:sz w:val="20"/>
                <w:szCs w:val="20"/>
              </w:rPr>
              <w:t>Evidence of adequate technical quality is made public, including on the State’s website.</w:t>
            </w:r>
          </w:p>
        </w:tc>
        <w:tc>
          <w:tcPr>
            <w:tcW w:w="4779" w:type="dxa"/>
            <w:shd w:val="clear" w:color="auto" w:fill="auto"/>
          </w:tcPr>
          <w:p w14:paraId="4CEFCE83"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DRC LAS Links Research Meeting Notes and</w:t>
            </w:r>
          </w:p>
          <w:p w14:paraId="26D25327"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 xml:space="preserve">Agenda - December 19, 2018. </w:t>
            </w:r>
          </w:p>
          <w:p w14:paraId="6DCCD7A8" w14:textId="77777777" w:rsidR="004B0E92" w:rsidRDefault="004B0E92" w:rsidP="00385738">
            <w:pPr>
              <w:rPr>
                <w:rFonts w:eastAsiaTheme="minorHAnsi"/>
                <w:sz w:val="20"/>
                <w:szCs w:val="20"/>
              </w:rPr>
            </w:pPr>
          </w:p>
          <w:p w14:paraId="667A35B9" w14:textId="77777777" w:rsidR="004B0E92" w:rsidRPr="00154275" w:rsidRDefault="004B0E92" w:rsidP="00385738"/>
        </w:tc>
        <w:tc>
          <w:tcPr>
            <w:tcW w:w="5013" w:type="dxa"/>
            <w:shd w:val="clear" w:color="auto" w:fill="auto"/>
          </w:tcPr>
          <w:p w14:paraId="796BF769" w14:textId="77777777" w:rsidR="004B0E92" w:rsidRDefault="004B0E92" w:rsidP="00385738">
            <w:pPr>
              <w:pStyle w:val="Default"/>
              <w:rPr>
                <w:color w:val="auto"/>
                <w:sz w:val="20"/>
                <w:szCs w:val="20"/>
              </w:rPr>
            </w:pPr>
            <w:r>
              <w:rPr>
                <w:color w:val="auto"/>
                <w:sz w:val="20"/>
                <w:szCs w:val="20"/>
              </w:rPr>
              <w:t xml:space="preserve">The state appears to be relying solely on the vendor’s future research plans.  </w:t>
            </w:r>
          </w:p>
          <w:p w14:paraId="3DFF64FD" w14:textId="77777777" w:rsidR="004B0E92" w:rsidRDefault="004B0E92" w:rsidP="00385738">
            <w:pPr>
              <w:pStyle w:val="Default"/>
              <w:rPr>
                <w:color w:val="auto"/>
                <w:sz w:val="20"/>
                <w:szCs w:val="20"/>
              </w:rPr>
            </w:pPr>
          </w:p>
          <w:p w14:paraId="09D222D8" w14:textId="77777777" w:rsidR="004B0E92" w:rsidRPr="005C2371" w:rsidRDefault="004B0E92" w:rsidP="00385738">
            <w:pPr>
              <w:pStyle w:val="Default"/>
              <w:rPr>
                <w:color w:val="auto"/>
                <w:sz w:val="20"/>
                <w:szCs w:val="20"/>
              </w:rPr>
            </w:pPr>
            <w:r w:rsidRPr="005C2371">
              <w:rPr>
                <w:color w:val="auto"/>
                <w:sz w:val="20"/>
                <w:szCs w:val="20"/>
              </w:rPr>
              <w:t>Limited evidence is provided regarding vendor plans for future operational analyses. Moreover, it was not clear what CEs the</w:t>
            </w:r>
            <w:r>
              <w:rPr>
                <w:color w:val="auto"/>
                <w:sz w:val="20"/>
                <w:szCs w:val="20"/>
              </w:rPr>
              <w:t xml:space="preserve"> vendor</w:t>
            </w:r>
            <w:r w:rsidRPr="005C2371">
              <w:rPr>
                <w:color w:val="auto"/>
                <w:sz w:val="20"/>
                <w:szCs w:val="20"/>
              </w:rPr>
              <w:t xml:space="preserve"> plans would address, or whether the</w:t>
            </w:r>
            <w:r>
              <w:rPr>
                <w:color w:val="auto"/>
                <w:sz w:val="20"/>
                <w:szCs w:val="20"/>
              </w:rPr>
              <w:t xml:space="preserve"> planned studies would </w:t>
            </w:r>
            <w:r w:rsidRPr="005C2371">
              <w:rPr>
                <w:color w:val="auto"/>
                <w:sz w:val="20"/>
                <w:szCs w:val="20"/>
              </w:rPr>
              <w:t xml:space="preserve">yield the necessary evidence (e.g., there would still be some </w:t>
            </w:r>
            <w:r>
              <w:rPr>
                <w:color w:val="auto"/>
                <w:sz w:val="20"/>
                <w:szCs w:val="20"/>
              </w:rPr>
              <w:t xml:space="preserve">areas unaddressed, </w:t>
            </w:r>
            <w:r w:rsidRPr="005C2371">
              <w:rPr>
                <w:color w:val="auto"/>
                <w:sz w:val="20"/>
                <w:szCs w:val="20"/>
              </w:rPr>
              <w:t xml:space="preserve">such as domain exemptions). </w:t>
            </w:r>
          </w:p>
          <w:p w14:paraId="5D8F5F48" w14:textId="77777777" w:rsidR="004B0E92" w:rsidRPr="005C2371" w:rsidRDefault="004B0E92" w:rsidP="00385738">
            <w:pPr>
              <w:pStyle w:val="Default"/>
              <w:rPr>
                <w:color w:val="auto"/>
                <w:sz w:val="20"/>
                <w:szCs w:val="20"/>
              </w:rPr>
            </w:pPr>
          </w:p>
          <w:p w14:paraId="60472A71" w14:textId="77777777" w:rsidR="004B0E92" w:rsidRPr="005C2371" w:rsidRDefault="004B0E92" w:rsidP="00385738">
            <w:pPr>
              <w:pStyle w:val="Default"/>
              <w:rPr>
                <w:color w:val="auto"/>
                <w:sz w:val="20"/>
                <w:szCs w:val="20"/>
              </w:rPr>
            </w:pPr>
            <w:r w:rsidRPr="005C2371">
              <w:rPr>
                <w:color w:val="auto"/>
                <w:sz w:val="20"/>
                <w:szCs w:val="20"/>
              </w:rPr>
              <w:t>Peers could not find evidence that MS is monitoring its own use of LAS Links as an ELP assessment, such as via the state</w:t>
            </w:r>
            <w:r>
              <w:rPr>
                <w:color w:val="auto"/>
                <w:sz w:val="20"/>
                <w:szCs w:val="20"/>
              </w:rPr>
              <w:t>’s</w:t>
            </w:r>
            <w:r w:rsidRPr="005C2371">
              <w:rPr>
                <w:color w:val="auto"/>
                <w:sz w:val="20"/>
                <w:szCs w:val="20"/>
              </w:rPr>
              <w:t xml:space="preserve"> Technical Advisory Committee, or that evidence is made public. </w:t>
            </w:r>
          </w:p>
          <w:p w14:paraId="2534105D" w14:textId="77777777" w:rsidR="004B0E92" w:rsidRPr="005C2371" w:rsidRDefault="004B0E92" w:rsidP="00385738">
            <w:pPr>
              <w:pStyle w:val="ListParagraph"/>
              <w:ind w:left="0"/>
              <w:rPr>
                <w:sz w:val="20"/>
                <w:szCs w:val="20"/>
              </w:rPr>
            </w:pPr>
          </w:p>
          <w:p w14:paraId="5964750F" w14:textId="77777777" w:rsidR="004B0E92" w:rsidRPr="005C2371" w:rsidRDefault="004B0E92" w:rsidP="00385738">
            <w:pPr>
              <w:pStyle w:val="ListParagraph"/>
              <w:ind w:left="0"/>
              <w:rPr>
                <w:sz w:val="20"/>
                <w:szCs w:val="20"/>
              </w:rPr>
            </w:pPr>
            <w:r w:rsidRPr="005C2371">
              <w:rPr>
                <w:sz w:val="20"/>
                <w:szCs w:val="20"/>
              </w:rPr>
              <w:t>Peers could not find evidence of any type of LAS Links TAC</w:t>
            </w:r>
            <w:r>
              <w:rPr>
                <w:sz w:val="20"/>
                <w:szCs w:val="20"/>
              </w:rPr>
              <w:t>.</w:t>
            </w:r>
          </w:p>
          <w:p w14:paraId="7DEB9FE8" w14:textId="77777777" w:rsidR="004B0E92" w:rsidRPr="005C2371" w:rsidRDefault="004B0E92" w:rsidP="00385738">
            <w:pPr>
              <w:pStyle w:val="Default"/>
              <w:rPr>
                <w:color w:val="auto"/>
                <w:sz w:val="20"/>
                <w:szCs w:val="20"/>
              </w:rPr>
            </w:pPr>
          </w:p>
          <w:p w14:paraId="536270DB" w14:textId="77777777" w:rsidR="004B0E92" w:rsidRPr="005C2371" w:rsidRDefault="004B0E92" w:rsidP="00385738">
            <w:pPr>
              <w:pStyle w:val="Default"/>
              <w:rPr>
                <w:rFonts w:ascii="Calibri" w:eastAsiaTheme="minorHAnsi" w:hAnsi="Calibri" w:cs="Calibri"/>
                <w:color w:val="auto"/>
                <w:sz w:val="20"/>
                <w:szCs w:val="20"/>
              </w:rPr>
            </w:pPr>
            <w:r>
              <w:rPr>
                <w:color w:val="auto"/>
                <w:sz w:val="20"/>
                <w:szCs w:val="20"/>
              </w:rPr>
              <w:t>Peers could not find e</w:t>
            </w:r>
            <w:r w:rsidRPr="005C2371">
              <w:rPr>
                <w:color w:val="auto"/>
                <w:sz w:val="20"/>
                <w:szCs w:val="20"/>
              </w:rPr>
              <w:t xml:space="preserve">vidence for ongoing refreshment of items, item bank, or retirement of dated test forms. </w:t>
            </w:r>
          </w:p>
        </w:tc>
      </w:tr>
      <w:tr w:rsidR="004B0E92" w:rsidRPr="00532BBF" w14:paraId="76668DAD" w14:textId="77777777" w:rsidTr="00385738">
        <w:tc>
          <w:tcPr>
            <w:tcW w:w="13410" w:type="dxa"/>
            <w:gridSpan w:val="3"/>
            <w:shd w:val="clear" w:color="auto" w:fill="auto"/>
          </w:tcPr>
          <w:p w14:paraId="76AD6E1F" w14:textId="77777777" w:rsidR="004B0E92" w:rsidRPr="00532BBF" w:rsidRDefault="004B0E92" w:rsidP="00385738">
            <w:pPr>
              <w:pStyle w:val="Heading4"/>
            </w:pPr>
            <w:r>
              <w:t xml:space="preserve">Section 4.7 </w:t>
            </w:r>
            <w:r w:rsidRPr="00532BBF">
              <w:t>Summary Statement</w:t>
            </w:r>
          </w:p>
        </w:tc>
      </w:tr>
      <w:tr w:rsidR="004B0E92" w:rsidRPr="00532BBF" w14:paraId="1554DE19" w14:textId="77777777" w:rsidTr="00385738">
        <w:tc>
          <w:tcPr>
            <w:tcW w:w="13410" w:type="dxa"/>
            <w:gridSpan w:val="3"/>
            <w:shd w:val="clear" w:color="auto" w:fill="auto"/>
          </w:tcPr>
          <w:p w14:paraId="575624B3" w14:textId="77777777" w:rsidR="004B0E92" w:rsidRPr="00532BBF" w:rsidRDefault="004B0E92" w:rsidP="00385738">
            <w:pPr>
              <w:rPr>
                <w:sz w:val="20"/>
                <w:szCs w:val="20"/>
              </w:rPr>
            </w:pPr>
            <w:r w:rsidRPr="00532BBF">
              <w:rPr>
                <w:sz w:val="20"/>
                <w:szCs w:val="20"/>
              </w:rPr>
              <w:t>___ No additional evidence is required or</w:t>
            </w:r>
          </w:p>
          <w:p w14:paraId="1ECAD4CD" w14:textId="77777777" w:rsidR="004B0E92" w:rsidRPr="00532BBF" w:rsidRDefault="004B0E92" w:rsidP="00385738">
            <w:pPr>
              <w:rPr>
                <w:sz w:val="20"/>
                <w:szCs w:val="20"/>
              </w:rPr>
            </w:pPr>
          </w:p>
          <w:p w14:paraId="665273EB" w14:textId="77777777" w:rsidR="004B0E92" w:rsidRPr="00532BBF" w:rsidRDefault="004B0E9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0435E819" w14:textId="77777777" w:rsidR="004B0E92" w:rsidRPr="005C2371" w:rsidRDefault="004B0E92" w:rsidP="008D31CB">
            <w:pPr>
              <w:pStyle w:val="ListParagraph"/>
              <w:numPr>
                <w:ilvl w:val="0"/>
                <w:numId w:val="22"/>
              </w:numPr>
              <w:rPr>
                <w:sz w:val="20"/>
                <w:szCs w:val="20"/>
              </w:rPr>
            </w:pPr>
            <w:r>
              <w:rPr>
                <w:sz w:val="20"/>
                <w:szCs w:val="20"/>
              </w:rPr>
              <w:t xml:space="preserve">Evidence of </w:t>
            </w:r>
            <w:r w:rsidRPr="005C2371">
              <w:rPr>
                <w:sz w:val="20"/>
                <w:szCs w:val="20"/>
              </w:rPr>
              <w:t>a system for monitori</w:t>
            </w:r>
            <w:r>
              <w:rPr>
                <w:sz w:val="20"/>
                <w:szCs w:val="20"/>
              </w:rPr>
              <w:t>ng, maintaining, and improving t</w:t>
            </w:r>
            <w:r w:rsidRPr="005C2371">
              <w:rPr>
                <w:sz w:val="20"/>
                <w:szCs w:val="20"/>
              </w:rPr>
              <w:t>he quality of its assessment system, including clear and technically sound criteria for the analyses of the assessments</w:t>
            </w:r>
            <w:r>
              <w:rPr>
                <w:sz w:val="20"/>
                <w:szCs w:val="20"/>
              </w:rPr>
              <w:t>;</w:t>
            </w:r>
          </w:p>
          <w:p w14:paraId="2315C5E0" w14:textId="77777777" w:rsidR="004B0E92" w:rsidRPr="00532BBF" w:rsidRDefault="004B0E92" w:rsidP="008D31CB">
            <w:pPr>
              <w:pStyle w:val="ListParagraph"/>
              <w:numPr>
                <w:ilvl w:val="0"/>
                <w:numId w:val="3"/>
              </w:numPr>
              <w:ind w:left="337" w:hanging="337"/>
              <w:rPr>
                <w:sz w:val="20"/>
                <w:szCs w:val="20"/>
              </w:rPr>
            </w:pPr>
            <w:r w:rsidRPr="005C2371">
              <w:rPr>
                <w:sz w:val="20"/>
                <w:szCs w:val="20"/>
              </w:rPr>
              <w:t xml:space="preserve">Evidence that </w:t>
            </w:r>
            <w:r>
              <w:rPr>
                <w:sz w:val="20"/>
                <w:szCs w:val="20"/>
              </w:rPr>
              <w:t xml:space="preserve">the </w:t>
            </w:r>
            <w:r w:rsidRPr="005C2371">
              <w:rPr>
                <w:sz w:val="20"/>
                <w:szCs w:val="20"/>
              </w:rPr>
              <w:t>technical quality is made public, including on the State’s website</w:t>
            </w:r>
          </w:p>
        </w:tc>
      </w:tr>
    </w:tbl>
    <w:p w14:paraId="73D90FA3" w14:textId="77777777" w:rsidR="004B0E92" w:rsidRDefault="004B0E92" w:rsidP="004B0E92">
      <w:pPr>
        <w:rPr>
          <w:b/>
          <w:sz w:val="20"/>
          <w:szCs w:val="20"/>
        </w:rPr>
      </w:pPr>
    </w:p>
    <w:p w14:paraId="6939E702" w14:textId="77777777" w:rsidR="004B0E92" w:rsidRDefault="004B0E92" w:rsidP="004B0E92">
      <w:pPr>
        <w:rPr>
          <w:b/>
          <w:sz w:val="20"/>
          <w:szCs w:val="20"/>
        </w:rPr>
      </w:pPr>
    </w:p>
    <w:p w14:paraId="6D602F3C" w14:textId="77777777" w:rsidR="004B0E92" w:rsidRPr="008A4204" w:rsidRDefault="004B0E92" w:rsidP="004B0E92">
      <w:pPr>
        <w:pStyle w:val="Heading1"/>
      </w:pPr>
      <w:r>
        <w:br w:type="page"/>
      </w:r>
      <w:bookmarkStart w:id="33" w:name="_Toc3354979"/>
      <w:r w:rsidRPr="008A4204">
        <w:t>SECTION 5: INCLUSION</w:t>
      </w:r>
      <w:bookmarkEnd w:id="13"/>
      <w:r w:rsidRPr="008A4204">
        <w:t xml:space="preserve"> OF AL</w:t>
      </w:r>
      <w:bookmarkStart w:id="34" w:name="section5"/>
      <w:bookmarkEnd w:id="34"/>
      <w:r w:rsidRPr="008A4204">
        <w:t>L STUDENTS</w:t>
      </w:r>
      <w:bookmarkEnd w:id="33"/>
    </w:p>
    <w:p w14:paraId="1E010623" w14:textId="77777777" w:rsidR="004B0E92" w:rsidRDefault="004B0E92" w:rsidP="004B0E92"/>
    <w:p w14:paraId="28553193" w14:textId="77777777" w:rsidR="004B0E92" w:rsidRDefault="004B0E92" w:rsidP="004B0E92">
      <w:pPr>
        <w:pStyle w:val="Heading2"/>
      </w:pPr>
      <w:bookmarkStart w:id="35" w:name="_Toc3354980"/>
      <w:r w:rsidRPr="009E6181">
        <w:t>Critical Element 5.1 – Procedures for Including Students with Disabilities</w:t>
      </w:r>
      <w:bookmarkEnd w:id="3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062A7B50"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75BAB78"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2CDF6FB"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288D399"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2E1222B3" w14:textId="77777777" w:rsidTr="00385738">
        <w:tc>
          <w:tcPr>
            <w:tcW w:w="3618" w:type="dxa"/>
            <w:shd w:val="clear" w:color="auto" w:fill="auto"/>
          </w:tcPr>
          <w:p w14:paraId="26C960BD" w14:textId="77777777" w:rsidR="004B0E92" w:rsidRPr="00CC7619" w:rsidRDefault="004B0E92" w:rsidP="00385738">
            <w:pPr>
              <w:spacing w:before="80"/>
              <w:rPr>
                <w:sz w:val="20"/>
              </w:rPr>
            </w:pPr>
            <w:r w:rsidRPr="00CC7619">
              <w:rPr>
                <w:sz w:val="20"/>
              </w:rPr>
              <w:t>The State has in place procedures to ensure the inclusion of all public elementary and secondary school students</w:t>
            </w:r>
            <w:r w:rsidRPr="00CC7619">
              <w:rPr>
                <w:rStyle w:val="FootnoteReference"/>
                <w:sz w:val="20"/>
              </w:rPr>
              <w:footnoteReference w:id="4"/>
            </w:r>
            <w:r w:rsidRPr="00CC7619">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169100BD" w14:textId="77777777" w:rsidR="004B0E92" w:rsidRPr="00CC7619" w:rsidRDefault="004B0E92" w:rsidP="00385738">
            <w:pPr>
              <w:rPr>
                <w:sz w:val="20"/>
              </w:rPr>
            </w:pPr>
          </w:p>
          <w:p w14:paraId="53D6107A" w14:textId="77777777" w:rsidR="004B0E92" w:rsidRPr="00CC7619" w:rsidRDefault="004B0E92" w:rsidP="008D31CB">
            <w:pPr>
              <w:pStyle w:val="ListParagraph"/>
              <w:numPr>
                <w:ilvl w:val="0"/>
                <w:numId w:val="24"/>
              </w:numPr>
              <w:rPr>
                <w:sz w:val="20"/>
                <w:szCs w:val="20"/>
              </w:rPr>
            </w:pPr>
            <w:r w:rsidRPr="00CC7619">
              <w:rPr>
                <w:b/>
                <w:i/>
                <w:sz w:val="20"/>
                <w:szCs w:val="20"/>
              </w:rPr>
              <w:t>For ELP assessments,</w:t>
            </w:r>
            <w:r w:rsidRPr="00CC7619">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5642EC8A" w14:textId="77777777" w:rsidR="004B0E92" w:rsidRPr="00160B82" w:rsidRDefault="004B0E92" w:rsidP="00385738">
            <w:pPr>
              <w:rPr>
                <w:sz w:val="20"/>
              </w:rPr>
            </w:pPr>
          </w:p>
        </w:tc>
        <w:tc>
          <w:tcPr>
            <w:tcW w:w="4779" w:type="dxa"/>
            <w:shd w:val="clear" w:color="auto" w:fill="auto"/>
          </w:tcPr>
          <w:p w14:paraId="60794A44"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MS English Learner Guidelines - Regulations,</w:t>
            </w:r>
          </w:p>
          <w:p w14:paraId="2822EE44"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Funding Guidance, and Instructional Supports -</w:t>
            </w:r>
          </w:p>
          <w:p w14:paraId="5F1B7F31"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May 2018R, pgs. 18-19, 31-33</w:t>
            </w:r>
          </w:p>
          <w:p w14:paraId="3CEB687F" w14:textId="77777777" w:rsidR="004B0E92" w:rsidRDefault="004B0E92" w:rsidP="00385738">
            <w:pPr>
              <w:autoSpaceDE w:val="0"/>
              <w:autoSpaceDN w:val="0"/>
              <w:adjustRightInd w:val="0"/>
              <w:rPr>
                <w:rFonts w:ascii="Wingdings-Regular" w:eastAsia="Wingdings-Regular" w:cs="Wingdings-Regular"/>
                <w:sz w:val="20"/>
                <w:szCs w:val="20"/>
              </w:rPr>
            </w:pPr>
          </w:p>
          <w:p w14:paraId="2E14A6FB"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Individualized Education Program Development</w:t>
            </w:r>
          </w:p>
          <w:p w14:paraId="6956B2AA"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Guidance - Rev. 02-07-2014</w:t>
            </w:r>
          </w:p>
          <w:p w14:paraId="3E110889" w14:textId="77777777" w:rsidR="004B0E92" w:rsidRDefault="004B0E92" w:rsidP="00385738">
            <w:pPr>
              <w:autoSpaceDE w:val="0"/>
              <w:autoSpaceDN w:val="0"/>
              <w:adjustRightInd w:val="0"/>
              <w:rPr>
                <w:rFonts w:ascii="Wingdings-Regular" w:eastAsia="Wingdings-Regular" w:cs="Wingdings-Regular"/>
                <w:sz w:val="20"/>
                <w:szCs w:val="20"/>
              </w:rPr>
            </w:pPr>
          </w:p>
          <w:p w14:paraId="2E815560"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Individualized Education Program, Rev. 8-24-2018</w:t>
            </w:r>
          </w:p>
          <w:p w14:paraId="32B5030A" w14:textId="77777777" w:rsidR="004B0E92" w:rsidRDefault="004B0E92" w:rsidP="00385738">
            <w:pPr>
              <w:autoSpaceDE w:val="0"/>
              <w:autoSpaceDN w:val="0"/>
              <w:adjustRightInd w:val="0"/>
              <w:rPr>
                <w:rFonts w:ascii="Wingdings-Regular" w:eastAsia="Wingdings-Regular" w:cs="Wingdings-Regular"/>
                <w:sz w:val="20"/>
                <w:szCs w:val="20"/>
              </w:rPr>
            </w:pPr>
          </w:p>
          <w:p w14:paraId="65427531"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Mississippi Testing Accommodations Manual,</w:t>
            </w:r>
          </w:p>
          <w:p w14:paraId="4196BB7B" w14:textId="77777777" w:rsidR="004B0E92" w:rsidRDefault="004B0E92" w:rsidP="00385738">
            <w:pPr>
              <w:rPr>
                <w:rFonts w:eastAsiaTheme="minorHAnsi"/>
                <w:sz w:val="20"/>
                <w:szCs w:val="20"/>
              </w:rPr>
            </w:pPr>
            <w:r>
              <w:rPr>
                <w:rFonts w:eastAsiaTheme="minorHAnsi"/>
                <w:sz w:val="20"/>
                <w:szCs w:val="20"/>
              </w:rPr>
              <w:t>November 2017R</w:t>
            </w:r>
          </w:p>
          <w:p w14:paraId="4EA33FFD" w14:textId="77777777" w:rsidR="004B0E92" w:rsidRDefault="004B0E92" w:rsidP="00385738">
            <w:pPr>
              <w:rPr>
                <w:rFonts w:eastAsiaTheme="minorHAnsi"/>
                <w:sz w:val="20"/>
                <w:szCs w:val="20"/>
              </w:rPr>
            </w:pPr>
          </w:p>
          <w:p w14:paraId="67DAB2BC" w14:textId="77777777" w:rsidR="004B0E92" w:rsidRPr="0077197F" w:rsidRDefault="004B0E92" w:rsidP="00385738">
            <w:pPr>
              <w:rPr>
                <w:sz w:val="20"/>
                <w:szCs w:val="20"/>
              </w:rPr>
            </w:pPr>
          </w:p>
        </w:tc>
        <w:tc>
          <w:tcPr>
            <w:tcW w:w="5013" w:type="dxa"/>
            <w:shd w:val="clear" w:color="auto" w:fill="auto"/>
          </w:tcPr>
          <w:p w14:paraId="4C07D0BB"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 xml:space="preserve">Evidence indicates that all eligible students in MS are required to participate in the assessment, with the exception of those with the most significant cognitive disabilities. It is not clear what assessment such students are required to take, if any. </w:t>
            </w:r>
          </w:p>
          <w:p w14:paraId="62DF6821" w14:textId="77777777" w:rsidR="004B0E92" w:rsidRDefault="004B0E92" w:rsidP="00385738">
            <w:pPr>
              <w:autoSpaceDE w:val="0"/>
              <w:autoSpaceDN w:val="0"/>
              <w:adjustRightInd w:val="0"/>
              <w:rPr>
                <w:rFonts w:eastAsiaTheme="minorHAnsi"/>
                <w:sz w:val="20"/>
                <w:szCs w:val="20"/>
              </w:rPr>
            </w:pPr>
          </w:p>
          <w:p w14:paraId="2FAA9DCB"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 xml:space="preserve">In the IEP development guidance document, the state references ELP assessments not adopted, and does not reference LAS Links as an option. This raises serious questions regarding the inclusion of students with disabilities who are ELs, other guidance notwithstanding. </w:t>
            </w:r>
          </w:p>
          <w:p w14:paraId="3F744C7D" w14:textId="77777777" w:rsidR="004B0E92" w:rsidRPr="00A8559F" w:rsidRDefault="004B0E92" w:rsidP="00385738">
            <w:pPr>
              <w:rPr>
                <w:rFonts w:eastAsiaTheme="minorHAnsi"/>
                <w:sz w:val="20"/>
                <w:szCs w:val="20"/>
              </w:rPr>
            </w:pPr>
          </w:p>
          <w:p w14:paraId="6BA725C8" w14:textId="77777777" w:rsidR="004B0E92" w:rsidRPr="00EA42E5" w:rsidRDefault="004B0E92" w:rsidP="00385738">
            <w:pPr>
              <w:autoSpaceDE w:val="0"/>
              <w:autoSpaceDN w:val="0"/>
              <w:adjustRightInd w:val="0"/>
              <w:rPr>
                <w:sz w:val="20"/>
                <w:szCs w:val="20"/>
              </w:rPr>
            </w:pPr>
            <w:r w:rsidRPr="00EA42E5">
              <w:rPr>
                <w:sz w:val="20"/>
                <w:szCs w:val="20"/>
              </w:rPr>
              <w:t>As stated in CE 4.4, while state guidelines indicate “If an EL cannot be assessed on LAS Links Assessment in one or more domains of the English Language Proficiency Test due to a disability, and there is no appropriate accommodation, the student’s English language proficiency will be based on the domains that can be assessed”, there is still the concern regarding e</w:t>
            </w:r>
            <w:r>
              <w:rPr>
                <w:sz w:val="20"/>
                <w:szCs w:val="20"/>
              </w:rPr>
              <w:t xml:space="preserve">xit criteria and equal benefits, </w:t>
            </w:r>
            <w:r w:rsidRPr="00EA42E5">
              <w:rPr>
                <w:sz w:val="20"/>
                <w:szCs w:val="20"/>
              </w:rPr>
              <w:t>given the state’s exit requirements.</w:t>
            </w:r>
          </w:p>
          <w:p w14:paraId="066169B6" w14:textId="77777777" w:rsidR="004B0E92" w:rsidRDefault="004B0E92" w:rsidP="00385738">
            <w:pPr>
              <w:autoSpaceDE w:val="0"/>
              <w:autoSpaceDN w:val="0"/>
              <w:adjustRightInd w:val="0"/>
              <w:rPr>
                <w:color w:val="0070C0"/>
                <w:sz w:val="20"/>
                <w:szCs w:val="20"/>
              </w:rPr>
            </w:pPr>
          </w:p>
          <w:p w14:paraId="62212EED" w14:textId="77777777" w:rsidR="004B0E92" w:rsidRPr="00A8559F" w:rsidRDefault="004B0E92" w:rsidP="00385738">
            <w:pPr>
              <w:autoSpaceDE w:val="0"/>
              <w:autoSpaceDN w:val="0"/>
              <w:adjustRightInd w:val="0"/>
              <w:rPr>
                <w:sz w:val="20"/>
                <w:szCs w:val="20"/>
              </w:rPr>
            </w:pPr>
          </w:p>
        </w:tc>
      </w:tr>
      <w:tr w:rsidR="004B0E92" w:rsidRPr="00532BBF" w14:paraId="46FDE0C6" w14:textId="77777777" w:rsidTr="00385738">
        <w:tc>
          <w:tcPr>
            <w:tcW w:w="13410" w:type="dxa"/>
            <w:gridSpan w:val="3"/>
            <w:shd w:val="clear" w:color="auto" w:fill="auto"/>
          </w:tcPr>
          <w:p w14:paraId="08C9F663" w14:textId="77777777" w:rsidR="004B0E92" w:rsidRPr="00532BBF" w:rsidRDefault="004B0E92" w:rsidP="00385738">
            <w:pPr>
              <w:pStyle w:val="Heading4"/>
            </w:pPr>
            <w:r>
              <w:t xml:space="preserve">Section 5.1 </w:t>
            </w:r>
            <w:r w:rsidRPr="00532BBF">
              <w:t>Summary Statement</w:t>
            </w:r>
          </w:p>
        </w:tc>
      </w:tr>
      <w:tr w:rsidR="004B0E92" w:rsidRPr="00532BBF" w14:paraId="662E6446" w14:textId="77777777" w:rsidTr="00385738">
        <w:tc>
          <w:tcPr>
            <w:tcW w:w="13410" w:type="dxa"/>
            <w:gridSpan w:val="3"/>
            <w:shd w:val="clear" w:color="auto" w:fill="auto"/>
          </w:tcPr>
          <w:p w14:paraId="14A4D73C" w14:textId="77777777" w:rsidR="004B0E92" w:rsidRPr="00532BBF" w:rsidRDefault="004B0E92" w:rsidP="00385738">
            <w:pPr>
              <w:rPr>
                <w:sz w:val="20"/>
                <w:szCs w:val="20"/>
              </w:rPr>
            </w:pPr>
            <w:r w:rsidRPr="00532BBF">
              <w:rPr>
                <w:sz w:val="20"/>
                <w:szCs w:val="20"/>
              </w:rPr>
              <w:t>___ No additional evidence is required or</w:t>
            </w:r>
          </w:p>
          <w:p w14:paraId="12E1E155" w14:textId="77777777" w:rsidR="004B0E92" w:rsidRPr="00532BBF" w:rsidRDefault="004B0E92" w:rsidP="00385738">
            <w:pPr>
              <w:rPr>
                <w:sz w:val="20"/>
                <w:szCs w:val="20"/>
              </w:rPr>
            </w:pPr>
          </w:p>
          <w:p w14:paraId="7E8E26C2" w14:textId="77777777" w:rsidR="004B0E92" w:rsidRPr="00532BBF" w:rsidRDefault="004B0E92" w:rsidP="00385738">
            <w:pPr>
              <w:rPr>
                <w:sz w:val="20"/>
                <w:szCs w:val="20"/>
              </w:rPr>
            </w:pPr>
            <w:r>
              <w:rPr>
                <w:sz w:val="20"/>
                <w:szCs w:val="20"/>
              </w:rPr>
              <w:t>_X</w:t>
            </w:r>
            <w:r w:rsidRPr="00532BBF">
              <w:rPr>
                <w:sz w:val="20"/>
                <w:szCs w:val="20"/>
              </w:rPr>
              <w:t>_ The following additional evidence is needed/provide brief rationale:</w:t>
            </w:r>
          </w:p>
          <w:p w14:paraId="2E71D91D" w14:textId="77777777" w:rsidR="004B0E92" w:rsidRDefault="004B0E92" w:rsidP="008D31CB">
            <w:pPr>
              <w:numPr>
                <w:ilvl w:val="0"/>
                <w:numId w:val="3"/>
              </w:numPr>
              <w:ind w:left="247" w:hanging="247"/>
              <w:rPr>
                <w:sz w:val="20"/>
                <w:szCs w:val="20"/>
              </w:rPr>
            </w:pPr>
            <w:r>
              <w:rPr>
                <w:sz w:val="20"/>
                <w:szCs w:val="20"/>
              </w:rPr>
              <w:t>Evidence of alignment between IEP guidance and state policy regarding inclusion of students with disabilities who are ELs;</w:t>
            </w:r>
          </w:p>
          <w:p w14:paraId="60A2F218" w14:textId="77777777" w:rsidR="004B0E92" w:rsidRPr="00532BBF" w:rsidRDefault="004B0E92" w:rsidP="008D31CB">
            <w:pPr>
              <w:numPr>
                <w:ilvl w:val="0"/>
                <w:numId w:val="3"/>
              </w:numPr>
              <w:ind w:left="247" w:hanging="247"/>
              <w:rPr>
                <w:sz w:val="20"/>
                <w:szCs w:val="20"/>
              </w:rPr>
            </w:pPr>
            <w:r>
              <w:rPr>
                <w:sz w:val="20"/>
                <w:szCs w:val="20"/>
              </w:rPr>
              <w:t xml:space="preserve">Evidence to ensure equal benefits for </w:t>
            </w:r>
            <w:r w:rsidRPr="00BE77EB">
              <w:rPr>
                <w:sz w:val="20"/>
                <w:szCs w:val="20"/>
              </w:rPr>
              <w:t>English learner</w:t>
            </w:r>
            <w:r>
              <w:rPr>
                <w:sz w:val="20"/>
                <w:szCs w:val="20"/>
              </w:rPr>
              <w:t>s with</w:t>
            </w:r>
            <w:r w:rsidRPr="00BE77EB">
              <w:rPr>
                <w:sz w:val="20"/>
                <w:szCs w:val="20"/>
              </w:rPr>
              <w:t xml:space="preserve"> a disability that precludes assessment of the student in one or more of the required domains/components (listening, speaking, reading, and writing)</w:t>
            </w:r>
          </w:p>
        </w:tc>
      </w:tr>
    </w:tbl>
    <w:p w14:paraId="1CC9BE4E" w14:textId="77777777" w:rsidR="004B0E92" w:rsidRDefault="004B0E92" w:rsidP="004B0E92"/>
    <w:p w14:paraId="029666E5" w14:textId="77777777" w:rsidR="004B0E92" w:rsidRDefault="004B0E92" w:rsidP="004B0E92"/>
    <w:p w14:paraId="5EF60747" w14:textId="77777777" w:rsidR="004B0E92" w:rsidRDefault="004B0E92" w:rsidP="004B0E92">
      <w:pPr>
        <w:pStyle w:val="Heading2"/>
      </w:pPr>
      <w:r>
        <w:br w:type="page"/>
      </w:r>
      <w:bookmarkStart w:id="36" w:name="_Toc3354981"/>
      <w:r w:rsidRPr="009E6181">
        <w:t xml:space="preserve">Critical Element 5.2 – </w:t>
      </w:r>
      <w:r>
        <w:t>DOES NOT APPLY to ELP Assessment Peer Review</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2A8D75A7"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F820F75"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97ABC2"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4A50A6A"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1BB9C81E" w14:textId="77777777" w:rsidTr="00385738">
        <w:tc>
          <w:tcPr>
            <w:tcW w:w="3618" w:type="dxa"/>
            <w:shd w:val="clear" w:color="auto" w:fill="auto"/>
          </w:tcPr>
          <w:p w14:paraId="0FE745C9" w14:textId="77777777" w:rsidR="004B0E92" w:rsidRPr="0077197F" w:rsidRDefault="004B0E92" w:rsidP="008D31CB">
            <w:pPr>
              <w:numPr>
                <w:ilvl w:val="1"/>
                <w:numId w:val="21"/>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366CF9C0" w14:textId="77777777" w:rsidR="004B0E92" w:rsidRPr="0077197F" w:rsidRDefault="004B0E92" w:rsidP="00385738">
            <w:pPr>
              <w:rPr>
                <w:sz w:val="20"/>
                <w:szCs w:val="20"/>
              </w:rPr>
            </w:pPr>
          </w:p>
        </w:tc>
        <w:tc>
          <w:tcPr>
            <w:tcW w:w="5013" w:type="dxa"/>
            <w:shd w:val="clear" w:color="auto" w:fill="auto"/>
          </w:tcPr>
          <w:p w14:paraId="0DB60A67" w14:textId="77777777" w:rsidR="004B0E92" w:rsidRPr="0077197F" w:rsidRDefault="004B0E92" w:rsidP="00385738">
            <w:pPr>
              <w:rPr>
                <w:sz w:val="20"/>
                <w:szCs w:val="20"/>
              </w:rPr>
            </w:pPr>
          </w:p>
        </w:tc>
      </w:tr>
      <w:tr w:rsidR="004B0E92" w:rsidRPr="00532BBF" w14:paraId="26BBFEFA" w14:textId="77777777" w:rsidTr="00385738">
        <w:tc>
          <w:tcPr>
            <w:tcW w:w="13410" w:type="dxa"/>
            <w:gridSpan w:val="3"/>
            <w:shd w:val="clear" w:color="auto" w:fill="auto"/>
          </w:tcPr>
          <w:p w14:paraId="413EF14D" w14:textId="77777777" w:rsidR="004B0E92" w:rsidRPr="00532BBF" w:rsidRDefault="004B0E92" w:rsidP="00385738">
            <w:pPr>
              <w:pStyle w:val="Heading4"/>
            </w:pPr>
            <w:r>
              <w:t xml:space="preserve">Section 5.2 </w:t>
            </w:r>
            <w:r w:rsidRPr="00532BBF">
              <w:t>Summary Statement</w:t>
            </w:r>
          </w:p>
        </w:tc>
      </w:tr>
      <w:tr w:rsidR="004B0E92" w:rsidRPr="00532BBF" w14:paraId="623869C0" w14:textId="77777777" w:rsidTr="00385738">
        <w:tc>
          <w:tcPr>
            <w:tcW w:w="13410" w:type="dxa"/>
            <w:gridSpan w:val="3"/>
            <w:shd w:val="clear" w:color="auto" w:fill="auto"/>
          </w:tcPr>
          <w:p w14:paraId="153174CB" w14:textId="77777777" w:rsidR="004B0E92" w:rsidRPr="00532BBF" w:rsidRDefault="004B0E92" w:rsidP="00385738">
            <w:pPr>
              <w:rPr>
                <w:sz w:val="20"/>
                <w:szCs w:val="20"/>
              </w:rPr>
            </w:pPr>
            <w:r w:rsidRPr="00532BBF">
              <w:rPr>
                <w:sz w:val="20"/>
                <w:szCs w:val="20"/>
              </w:rPr>
              <w:t>___ No additional evidence is required or</w:t>
            </w:r>
          </w:p>
          <w:p w14:paraId="255A5D86" w14:textId="77777777" w:rsidR="004B0E92" w:rsidRPr="00532BBF" w:rsidRDefault="004B0E92" w:rsidP="00385738">
            <w:pPr>
              <w:rPr>
                <w:sz w:val="20"/>
                <w:szCs w:val="20"/>
              </w:rPr>
            </w:pPr>
          </w:p>
          <w:p w14:paraId="16C2A5FD" w14:textId="77777777" w:rsidR="004B0E92" w:rsidRPr="00532BBF" w:rsidRDefault="004B0E92" w:rsidP="00385738">
            <w:pPr>
              <w:rPr>
                <w:sz w:val="20"/>
                <w:szCs w:val="20"/>
              </w:rPr>
            </w:pPr>
            <w:r w:rsidRPr="00532BBF">
              <w:rPr>
                <w:sz w:val="20"/>
                <w:szCs w:val="20"/>
              </w:rPr>
              <w:t>___ The following additional evidence is needed/provide brief rationale:</w:t>
            </w:r>
          </w:p>
          <w:p w14:paraId="44669940" w14:textId="77777777" w:rsidR="004B0E92" w:rsidRPr="00532BBF" w:rsidRDefault="004B0E92" w:rsidP="008D31CB">
            <w:pPr>
              <w:numPr>
                <w:ilvl w:val="0"/>
                <w:numId w:val="3"/>
              </w:numPr>
              <w:ind w:left="720"/>
              <w:rPr>
                <w:sz w:val="20"/>
                <w:szCs w:val="20"/>
              </w:rPr>
            </w:pPr>
            <w:r w:rsidRPr="00532BBF">
              <w:rPr>
                <w:sz w:val="20"/>
                <w:szCs w:val="20"/>
              </w:rPr>
              <w:t>[list additional evidence needed w/brief rationale]</w:t>
            </w:r>
          </w:p>
          <w:p w14:paraId="2F120AE3" w14:textId="77777777" w:rsidR="004B0E92" w:rsidRPr="00532BBF" w:rsidRDefault="004B0E92" w:rsidP="00385738">
            <w:pPr>
              <w:ind w:left="720"/>
              <w:rPr>
                <w:sz w:val="20"/>
                <w:szCs w:val="20"/>
              </w:rPr>
            </w:pPr>
          </w:p>
        </w:tc>
      </w:tr>
    </w:tbl>
    <w:p w14:paraId="293DC8F0" w14:textId="77777777" w:rsidR="004B0E92" w:rsidRDefault="004B0E92" w:rsidP="004B0E92"/>
    <w:p w14:paraId="42525F07" w14:textId="77777777" w:rsidR="004B0E92" w:rsidRDefault="004B0E92" w:rsidP="004B0E92">
      <w:pPr>
        <w:pStyle w:val="Heading2"/>
      </w:pPr>
      <w:r>
        <w:br w:type="page"/>
      </w:r>
      <w:bookmarkStart w:id="37" w:name="_Toc3354982"/>
      <w:r w:rsidRPr="009E6181">
        <w:t>Critical Element 5.3 – Accommodations</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44BCC11D"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D146017"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1B7364F"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CAB5A87"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09EA9585" w14:textId="77777777" w:rsidTr="00385738">
        <w:tc>
          <w:tcPr>
            <w:tcW w:w="3618" w:type="dxa"/>
            <w:shd w:val="clear" w:color="auto" w:fill="auto"/>
          </w:tcPr>
          <w:p w14:paraId="184947BC" w14:textId="77777777" w:rsidR="004B0E92" w:rsidRPr="002313D0" w:rsidRDefault="004B0E92" w:rsidP="00385738">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4E51B4BD" w14:textId="77777777" w:rsidR="004B0E92" w:rsidRPr="008971C1" w:rsidRDefault="004B0E92" w:rsidP="008D31CB">
            <w:pPr>
              <w:numPr>
                <w:ilvl w:val="0"/>
                <w:numId w:val="4"/>
              </w:numPr>
              <w:rPr>
                <w:sz w:val="20"/>
                <w:szCs w:val="20"/>
                <w:u w:val="single"/>
              </w:rPr>
            </w:pPr>
            <w:r w:rsidRPr="008971C1">
              <w:rPr>
                <w:sz w:val="20"/>
                <w:szCs w:val="20"/>
              </w:rPr>
              <w:t>Ensures that appropriate accommodations are available for ELs;</w:t>
            </w:r>
          </w:p>
          <w:p w14:paraId="2F8F8E67" w14:textId="77777777" w:rsidR="004B0E92" w:rsidRPr="008971C1" w:rsidRDefault="004B0E92" w:rsidP="008D31CB">
            <w:pPr>
              <w:pStyle w:val="Tabletext"/>
              <w:widowControl w:val="0"/>
              <w:numPr>
                <w:ilvl w:val="0"/>
                <w:numId w:val="4"/>
              </w:numPr>
              <w:autoSpaceDE w:val="0"/>
              <w:autoSpaceDN w:val="0"/>
              <w:adjustRightInd w:val="0"/>
              <w:spacing w:before="0" w:after="0"/>
              <w:rPr>
                <w:rFonts w:ascii="Times New Roman" w:hAnsi="Times New Roman"/>
                <w:szCs w:val="20"/>
              </w:rPr>
            </w:pPr>
            <w:r w:rsidRPr="008971C1">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3156D3CB" w14:textId="77777777" w:rsidR="004B0E92" w:rsidRPr="008971C1" w:rsidRDefault="004B0E92" w:rsidP="008D31CB">
            <w:pPr>
              <w:pStyle w:val="Tabletext"/>
              <w:widowControl w:val="0"/>
              <w:numPr>
                <w:ilvl w:val="0"/>
                <w:numId w:val="4"/>
              </w:numPr>
              <w:autoSpaceDE w:val="0"/>
              <w:autoSpaceDN w:val="0"/>
              <w:adjustRightInd w:val="0"/>
              <w:spacing w:before="0" w:after="0"/>
              <w:rPr>
                <w:rFonts w:ascii="Times New Roman" w:hAnsi="Times New Roman"/>
                <w:b/>
                <w:i/>
                <w:szCs w:val="20"/>
              </w:rPr>
            </w:pPr>
            <w:r w:rsidRPr="008971C1">
              <w:rPr>
                <w:rFonts w:ascii="Times New Roman" w:hAnsi="Times New Roman"/>
                <w:bCs/>
                <w:szCs w:val="20"/>
              </w:rPr>
              <w:t>Has a process to individually review and allow exceptional requests for a small number of students who require accommodations beyond those routinely allowed</w:t>
            </w:r>
            <w:r w:rsidRPr="008971C1">
              <w:rPr>
                <w:rFonts w:ascii="Times New Roman" w:hAnsi="Times New Roman"/>
                <w:szCs w:val="20"/>
              </w:rPr>
              <w:t>.</w:t>
            </w:r>
          </w:p>
          <w:p w14:paraId="6B07EC6F" w14:textId="77777777" w:rsidR="004B0E92" w:rsidRPr="0077197F" w:rsidRDefault="004B0E92" w:rsidP="008D31CB">
            <w:pPr>
              <w:pStyle w:val="Tabletext"/>
              <w:widowControl w:val="0"/>
              <w:numPr>
                <w:ilvl w:val="0"/>
                <w:numId w:val="4"/>
              </w:numPr>
              <w:autoSpaceDE w:val="0"/>
              <w:autoSpaceDN w:val="0"/>
              <w:adjustRightInd w:val="0"/>
              <w:spacing w:before="0" w:after="0"/>
              <w:rPr>
                <w:szCs w:val="20"/>
              </w:rPr>
            </w:pPr>
            <w:r w:rsidRPr="008971C1">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tc>
        <w:tc>
          <w:tcPr>
            <w:tcW w:w="4779" w:type="dxa"/>
            <w:shd w:val="clear" w:color="auto" w:fill="auto"/>
          </w:tcPr>
          <w:p w14:paraId="2A06486D"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MS English Learner Guidelines - Regulations,</w:t>
            </w:r>
          </w:p>
          <w:p w14:paraId="4E1538DE"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Funding Guidance, and Instructional Supports -</w:t>
            </w:r>
          </w:p>
          <w:p w14:paraId="1F336A20"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May 2018R, pgs. 18-19, 31-33</w:t>
            </w:r>
          </w:p>
          <w:p w14:paraId="127B206D" w14:textId="77777777" w:rsidR="004B0E92" w:rsidRDefault="004B0E92" w:rsidP="00385738">
            <w:pPr>
              <w:autoSpaceDE w:val="0"/>
              <w:autoSpaceDN w:val="0"/>
              <w:adjustRightInd w:val="0"/>
              <w:rPr>
                <w:rFonts w:ascii="Wingdings-Regular" w:eastAsia="Wingdings-Regular" w:cs="Wingdings-Regular"/>
                <w:sz w:val="20"/>
                <w:szCs w:val="20"/>
              </w:rPr>
            </w:pPr>
          </w:p>
          <w:p w14:paraId="18979E10"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Individualized Education Program Development</w:t>
            </w:r>
          </w:p>
          <w:p w14:paraId="0B978297"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Guidance - Rev. 02-07-2014</w:t>
            </w:r>
          </w:p>
          <w:p w14:paraId="4E7985DD" w14:textId="77777777" w:rsidR="004B0E92" w:rsidRDefault="004B0E92" w:rsidP="00385738">
            <w:pPr>
              <w:autoSpaceDE w:val="0"/>
              <w:autoSpaceDN w:val="0"/>
              <w:adjustRightInd w:val="0"/>
              <w:rPr>
                <w:rFonts w:ascii="Wingdings-Regular" w:eastAsia="Wingdings-Regular" w:cs="Wingdings-Regular"/>
                <w:sz w:val="20"/>
                <w:szCs w:val="20"/>
              </w:rPr>
            </w:pPr>
          </w:p>
          <w:p w14:paraId="2711532B"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Individualized Education Program, Rev. 8-24-2018</w:t>
            </w:r>
          </w:p>
          <w:p w14:paraId="5EB050F7" w14:textId="77777777" w:rsidR="004B0E92" w:rsidRDefault="004B0E92" w:rsidP="00385738">
            <w:pPr>
              <w:autoSpaceDE w:val="0"/>
              <w:autoSpaceDN w:val="0"/>
              <w:adjustRightInd w:val="0"/>
              <w:rPr>
                <w:rFonts w:ascii="Wingdings-Regular" w:eastAsia="Wingdings-Regular" w:cs="Wingdings-Regular"/>
                <w:sz w:val="20"/>
                <w:szCs w:val="20"/>
              </w:rPr>
            </w:pPr>
          </w:p>
          <w:p w14:paraId="2D1F0459"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Mississippi Testing Accommodations Manual,</w:t>
            </w:r>
          </w:p>
          <w:p w14:paraId="19F6A466"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November 2017R</w:t>
            </w:r>
          </w:p>
          <w:p w14:paraId="260D9D45" w14:textId="77777777" w:rsidR="004B0E92" w:rsidRDefault="004B0E92" w:rsidP="00385738">
            <w:pPr>
              <w:autoSpaceDE w:val="0"/>
              <w:autoSpaceDN w:val="0"/>
              <w:adjustRightInd w:val="0"/>
              <w:rPr>
                <w:rFonts w:ascii="Wingdings-Regular" w:eastAsia="Wingdings-Regular" w:cs="Wingdings-Regular"/>
                <w:sz w:val="20"/>
                <w:szCs w:val="20"/>
              </w:rPr>
            </w:pPr>
          </w:p>
          <w:p w14:paraId="73572D17"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MS Language Service Plan (LSP)</w:t>
            </w:r>
          </w:p>
          <w:p w14:paraId="7269C111" w14:textId="77777777" w:rsidR="004B0E92" w:rsidRDefault="004B0E92" w:rsidP="00385738">
            <w:pPr>
              <w:pStyle w:val="ListParagraph"/>
              <w:ind w:left="0"/>
              <w:rPr>
                <w:rFonts w:ascii="Wingdings-Regular" w:eastAsia="Wingdings-Regular" w:cs="Wingdings-Regular"/>
                <w:sz w:val="20"/>
                <w:szCs w:val="20"/>
              </w:rPr>
            </w:pPr>
          </w:p>
          <w:p w14:paraId="5E2090CD" w14:textId="77777777" w:rsidR="004B0E92" w:rsidRPr="0077197F" w:rsidRDefault="004B0E92" w:rsidP="00385738">
            <w:pPr>
              <w:pStyle w:val="ListParagraph"/>
              <w:ind w:left="0"/>
              <w:rPr>
                <w:sz w:val="20"/>
                <w:szCs w:val="20"/>
              </w:rPr>
            </w:pPr>
            <w:r>
              <w:rPr>
                <w:rFonts w:eastAsiaTheme="minorHAnsi"/>
                <w:sz w:val="20"/>
                <w:szCs w:val="20"/>
              </w:rPr>
              <w:t>LAS Links Accessibility Guide</w:t>
            </w:r>
          </w:p>
        </w:tc>
        <w:tc>
          <w:tcPr>
            <w:tcW w:w="5013" w:type="dxa"/>
            <w:shd w:val="clear" w:color="auto" w:fill="auto"/>
          </w:tcPr>
          <w:p w14:paraId="225FEA68" w14:textId="77777777" w:rsidR="004B0E92" w:rsidRDefault="004B0E92" w:rsidP="00385738">
            <w:pPr>
              <w:rPr>
                <w:sz w:val="20"/>
                <w:szCs w:val="20"/>
              </w:rPr>
            </w:pPr>
            <w:r>
              <w:rPr>
                <w:sz w:val="20"/>
                <w:szCs w:val="20"/>
              </w:rPr>
              <w:t xml:space="preserve">In the evidence provided, guidance from the state appears to be more restrictive than guidance provided by the vendor regarding which accommodations are allowable. The state restrictions for ELP assessment accommodations also appear to be more strict than for accommodations allowed on other MS statewide assessments. </w:t>
            </w:r>
          </w:p>
          <w:p w14:paraId="54B05AC4" w14:textId="77777777" w:rsidR="004B0E92" w:rsidRDefault="004B0E92" w:rsidP="00385738">
            <w:pPr>
              <w:rPr>
                <w:sz w:val="20"/>
                <w:szCs w:val="20"/>
              </w:rPr>
            </w:pPr>
          </w:p>
          <w:p w14:paraId="0C96F9E2" w14:textId="77777777" w:rsidR="004B0E92" w:rsidRDefault="004B0E92" w:rsidP="00385738">
            <w:pPr>
              <w:rPr>
                <w:sz w:val="20"/>
                <w:szCs w:val="20"/>
              </w:rPr>
            </w:pPr>
            <w:r>
              <w:rPr>
                <w:sz w:val="20"/>
                <w:szCs w:val="20"/>
              </w:rPr>
              <w:t xml:space="preserve">For example, on </w:t>
            </w:r>
            <w:r w:rsidRPr="00236A00">
              <w:rPr>
                <w:sz w:val="20"/>
                <w:szCs w:val="20"/>
              </w:rPr>
              <w:t>pp. 17- 30 of the Mississippi Testing Accommodations Manual, there a</w:t>
            </w:r>
            <w:r>
              <w:rPr>
                <w:sz w:val="20"/>
                <w:szCs w:val="20"/>
              </w:rPr>
              <w:t xml:space="preserve"> number</w:t>
            </w:r>
            <w:r w:rsidRPr="00236A00">
              <w:rPr>
                <w:sz w:val="20"/>
                <w:szCs w:val="20"/>
              </w:rPr>
              <w:t xml:space="preserve"> of accommodations marked as “No” for the ELP</w:t>
            </w:r>
            <w:r>
              <w:rPr>
                <w:sz w:val="20"/>
                <w:szCs w:val="20"/>
              </w:rPr>
              <w:t xml:space="preserve"> assessment</w:t>
            </w:r>
            <w:r w:rsidRPr="00236A00">
              <w:rPr>
                <w:sz w:val="20"/>
                <w:szCs w:val="20"/>
              </w:rPr>
              <w:t xml:space="preserve">, including, among others, braille and magnification tools. In a number of rows, </w:t>
            </w:r>
            <w:r>
              <w:rPr>
                <w:sz w:val="20"/>
                <w:szCs w:val="20"/>
              </w:rPr>
              <w:t>LAS Links is the only</w:t>
            </w:r>
            <w:r w:rsidRPr="00236A00">
              <w:rPr>
                <w:sz w:val="20"/>
                <w:szCs w:val="20"/>
              </w:rPr>
              <w:t xml:space="preserve"> assessment marked as a “</w:t>
            </w:r>
            <w:r>
              <w:rPr>
                <w:sz w:val="20"/>
                <w:szCs w:val="20"/>
              </w:rPr>
              <w:t>No” for certain accommodations, when it appears that they should be marked “Yes” or “N/A”, based on what the vendor recommends for LAS Links.</w:t>
            </w:r>
          </w:p>
          <w:p w14:paraId="16FCFD10" w14:textId="77777777" w:rsidR="004B0E92" w:rsidRDefault="004B0E92" w:rsidP="00385738">
            <w:pPr>
              <w:rPr>
                <w:sz w:val="20"/>
                <w:szCs w:val="20"/>
              </w:rPr>
            </w:pPr>
          </w:p>
          <w:p w14:paraId="02851DDE" w14:textId="77777777" w:rsidR="004B0E92" w:rsidRDefault="004B0E92" w:rsidP="00385738">
            <w:pPr>
              <w:rPr>
                <w:sz w:val="20"/>
                <w:szCs w:val="20"/>
              </w:rPr>
            </w:pPr>
            <w:r w:rsidRPr="005925DE">
              <w:rPr>
                <w:sz w:val="20"/>
                <w:szCs w:val="20"/>
              </w:rPr>
              <w:t>It was unclear how the state treated the tools embedded in LAS Links. The table describes the items as universal tools but the introductory text implies they are accommodations.</w:t>
            </w:r>
          </w:p>
          <w:p w14:paraId="47D772F6" w14:textId="77777777" w:rsidR="004B0E92" w:rsidRDefault="004B0E92" w:rsidP="00385738">
            <w:pPr>
              <w:rPr>
                <w:sz w:val="20"/>
                <w:szCs w:val="20"/>
              </w:rPr>
            </w:pPr>
          </w:p>
          <w:p w14:paraId="2F6232BE" w14:textId="77777777" w:rsidR="004B0E92" w:rsidRPr="005925DE" w:rsidRDefault="004B0E92" w:rsidP="00385738">
            <w:pPr>
              <w:pStyle w:val="ListParagraph"/>
              <w:ind w:left="0"/>
              <w:rPr>
                <w:sz w:val="20"/>
                <w:szCs w:val="20"/>
              </w:rPr>
            </w:pPr>
            <w:r w:rsidRPr="005925DE">
              <w:rPr>
                <w:sz w:val="20"/>
                <w:szCs w:val="20"/>
              </w:rPr>
              <w:t xml:space="preserve">LAS Links available accommodations are based on the CTB TerraNova (tech manual - pp. 56-57). </w:t>
            </w:r>
            <w:r>
              <w:rPr>
                <w:sz w:val="20"/>
                <w:szCs w:val="20"/>
              </w:rPr>
              <w:t>As such, p</w:t>
            </w:r>
            <w:r w:rsidRPr="005925DE">
              <w:rPr>
                <w:sz w:val="20"/>
                <w:szCs w:val="20"/>
              </w:rPr>
              <w:t xml:space="preserve">eers could not find specific evidence </w:t>
            </w:r>
            <w:r>
              <w:rPr>
                <w:sz w:val="20"/>
                <w:szCs w:val="20"/>
              </w:rPr>
              <w:t xml:space="preserve">for </w:t>
            </w:r>
            <w:r w:rsidRPr="005925DE">
              <w:rPr>
                <w:sz w:val="20"/>
                <w:szCs w:val="20"/>
              </w:rPr>
              <w:t>appropriateness, lack of impact on the constr</w:t>
            </w:r>
            <w:r>
              <w:rPr>
                <w:sz w:val="20"/>
                <w:szCs w:val="20"/>
              </w:rPr>
              <w:t xml:space="preserve">uct, or support for meaningful and comparable interpretations of </w:t>
            </w:r>
            <w:r w:rsidRPr="005925DE">
              <w:rPr>
                <w:sz w:val="20"/>
                <w:szCs w:val="20"/>
              </w:rPr>
              <w:t>LAS Links</w:t>
            </w:r>
            <w:r>
              <w:rPr>
                <w:sz w:val="20"/>
                <w:szCs w:val="20"/>
              </w:rPr>
              <w:t xml:space="preserve"> results</w:t>
            </w:r>
            <w:r w:rsidRPr="005925DE">
              <w:rPr>
                <w:sz w:val="20"/>
                <w:szCs w:val="20"/>
              </w:rPr>
              <w:t>.</w:t>
            </w:r>
          </w:p>
          <w:p w14:paraId="654178AA" w14:textId="77777777" w:rsidR="004B0E92" w:rsidRPr="00236A00" w:rsidRDefault="004B0E92" w:rsidP="00385738">
            <w:pPr>
              <w:rPr>
                <w:sz w:val="20"/>
                <w:szCs w:val="20"/>
              </w:rPr>
            </w:pPr>
          </w:p>
          <w:p w14:paraId="1BBF0334" w14:textId="77777777" w:rsidR="004B0E92" w:rsidRPr="003240F0" w:rsidRDefault="004B0E92" w:rsidP="00385738">
            <w:pPr>
              <w:pStyle w:val="ListParagraph"/>
              <w:ind w:left="0"/>
              <w:rPr>
                <w:rFonts w:eastAsiaTheme="minorHAnsi"/>
                <w:color w:val="000000"/>
                <w:sz w:val="20"/>
                <w:szCs w:val="20"/>
                <w:lang w:eastAsia="zh-CN"/>
              </w:rPr>
            </w:pPr>
          </w:p>
        </w:tc>
      </w:tr>
      <w:tr w:rsidR="004B0E92" w:rsidRPr="00532BBF" w14:paraId="72F90D75" w14:textId="77777777" w:rsidTr="00385738">
        <w:tc>
          <w:tcPr>
            <w:tcW w:w="13410" w:type="dxa"/>
            <w:gridSpan w:val="3"/>
            <w:shd w:val="clear" w:color="auto" w:fill="auto"/>
          </w:tcPr>
          <w:p w14:paraId="0776C891" w14:textId="77777777" w:rsidR="004B0E92" w:rsidRPr="00532BBF" w:rsidRDefault="004B0E92" w:rsidP="00385738">
            <w:pPr>
              <w:pStyle w:val="Heading4"/>
            </w:pPr>
            <w:r>
              <w:t xml:space="preserve">Section 5.3 </w:t>
            </w:r>
            <w:r w:rsidRPr="00532BBF">
              <w:t>Summary Statement</w:t>
            </w:r>
          </w:p>
        </w:tc>
      </w:tr>
      <w:tr w:rsidR="004B0E92" w:rsidRPr="00532BBF" w14:paraId="26437EE1" w14:textId="77777777" w:rsidTr="00385738">
        <w:tc>
          <w:tcPr>
            <w:tcW w:w="13410" w:type="dxa"/>
            <w:gridSpan w:val="3"/>
            <w:shd w:val="clear" w:color="auto" w:fill="auto"/>
          </w:tcPr>
          <w:p w14:paraId="578636D7" w14:textId="77777777" w:rsidR="004B0E92" w:rsidRPr="00532BBF" w:rsidRDefault="004B0E92" w:rsidP="00385738">
            <w:pPr>
              <w:rPr>
                <w:sz w:val="20"/>
                <w:szCs w:val="20"/>
              </w:rPr>
            </w:pPr>
            <w:r w:rsidRPr="00532BBF">
              <w:rPr>
                <w:sz w:val="20"/>
                <w:szCs w:val="20"/>
              </w:rPr>
              <w:t>___ No additional evidence is required or</w:t>
            </w:r>
          </w:p>
          <w:p w14:paraId="52F2C154" w14:textId="77777777" w:rsidR="004B0E92" w:rsidRPr="00532BBF" w:rsidRDefault="004B0E92" w:rsidP="00385738">
            <w:pPr>
              <w:rPr>
                <w:sz w:val="20"/>
                <w:szCs w:val="20"/>
              </w:rPr>
            </w:pPr>
          </w:p>
          <w:p w14:paraId="45EF8A95" w14:textId="77777777" w:rsidR="004B0E92" w:rsidRPr="00532BBF" w:rsidRDefault="004B0E92" w:rsidP="00385738">
            <w:pPr>
              <w:rPr>
                <w:sz w:val="20"/>
                <w:szCs w:val="20"/>
              </w:rPr>
            </w:pPr>
            <w:r>
              <w:rPr>
                <w:sz w:val="20"/>
                <w:szCs w:val="20"/>
              </w:rPr>
              <w:t>_X</w:t>
            </w:r>
            <w:r w:rsidRPr="00532BBF">
              <w:rPr>
                <w:sz w:val="20"/>
                <w:szCs w:val="20"/>
              </w:rPr>
              <w:t>_ The following additional evidence is needed/provide brief rationale:</w:t>
            </w:r>
          </w:p>
          <w:p w14:paraId="11A45285" w14:textId="77777777" w:rsidR="004B0E92" w:rsidRDefault="004B0E92" w:rsidP="008D31CB">
            <w:pPr>
              <w:numPr>
                <w:ilvl w:val="0"/>
                <w:numId w:val="3"/>
              </w:numPr>
              <w:ind w:left="720"/>
              <w:rPr>
                <w:sz w:val="20"/>
                <w:szCs w:val="20"/>
              </w:rPr>
            </w:pPr>
            <w:r w:rsidRPr="0081294E">
              <w:rPr>
                <w:sz w:val="20"/>
                <w:szCs w:val="20"/>
              </w:rPr>
              <w:t>Evidence that accommodations do not alte</w:t>
            </w:r>
            <w:r>
              <w:rPr>
                <w:sz w:val="20"/>
                <w:szCs w:val="20"/>
              </w:rPr>
              <w:t>r the construct being assessed;</w:t>
            </w:r>
          </w:p>
          <w:p w14:paraId="67FE6A5E" w14:textId="77777777" w:rsidR="004B0E92" w:rsidRPr="00532BBF" w:rsidRDefault="004B0E92" w:rsidP="008D31CB">
            <w:pPr>
              <w:numPr>
                <w:ilvl w:val="0"/>
                <w:numId w:val="3"/>
              </w:numPr>
              <w:ind w:left="720"/>
              <w:rPr>
                <w:sz w:val="20"/>
                <w:szCs w:val="20"/>
              </w:rPr>
            </w:pPr>
            <w:r>
              <w:rPr>
                <w:sz w:val="20"/>
                <w:szCs w:val="20"/>
              </w:rPr>
              <w:t>Evidence of consistency in guidance between vendor and state regarding allowable accommodations</w:t>
            </w:r>
          </w:p>
        </w:tc>
      </w:tr>
    </w:tbl>
    <w:p w14:paraId="06673257" w14:textId="77777777" w:rsidR="004B0E92" w:rsidRDefault="004B0E92" w:rsidP="004B0E92">
      <w:pPr>
        <w:rPr>
          <w:b/>
          <w:sz w:val="20"/>
          <w:szCs w:val="20"/>
        </w:rPr>
      </w:pPr>
    </w:p>
    <w:p w14:paraId="4002FAB6" w14:textId="77777777" w:rsidR="004B0E92" w:rsidRDefault="004B0E92" w:rsidP="004B0E92">
      <w:pPr>
        <w:rPr>
          <w:b/>
          <w:sz w:val="20"/>
          <w:szCs w:val="20"/>
        </w:rPr>
      </w:pPr>
    </w:p>
    <w:p w14:paraId="4D59006B" w14:textId="77777777" w:rsidR="004B0E92" w:rsidRDefault="004B0E92" w:rsidP="004B0E92">
      <w:pPr>
        <w:pStyle w:val="Heading2"/>
      </w:pPr>
      <w:r>
        <w:br w:type="page"/>
      </w:r>
      <w:bookmarkStart w:id="38" w:name="_Toc3354983"/>
      <w:r w:rsidRPr="009678AC">
        <w:t xml:space="preserve">Critical Element </w:t>
      </w:r>
      <w:r>
        <w:t>5</w:t>
      </w:r>
      <w:r w:rsidRPr="009678AC">
        <w:t>.</w:t>
      </w:r>
      <w:r>
        <w:t>4</w:t>
      </w:r>
      <w:r w:rsidRPr="009678AC">
        <w:t xml:space="preserve"> – Monitoring </w:t>
      </w:r>
      <w:r>
        <w:t>Test Administration for Special Populations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3FADC8EF"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A71DCB7"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D2D3C23"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B68D485"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2871FBB1" w14:textId="77777777" w:rsidTr="00385738">
        <w:tc>
          <w:tcPr>
            <w:tcW w:w="3618" w:type="dxa"/>
            <w:shd w:val="clear" w:color="auto" w:fill="auto"/>
          </w:tcPr>
          <w:p w14:paraId="090251C5" w14:textId="77777777" w:rsidR="004B0E92" w:rsidRPr="005D0DE4" w:rsidRDefault="004B0E92" w:rsidP="00385738">
            <w:pPr>
              <w:spacing w:before="80"/>
              <w:rPr>
                <w:b/>
                <w:bCs/>
                <w:sz w:val="20"/>
                <w:szCs w:val="20"/>
              </w:rPr>
            </w:pPr>
            <w:r w:rsidRPr="005D0DE4">
              <w:rPr>
                <w:bCs/>
                <w:sz w:val="20"/>
                <w:szCs w:val="20"/>
              </w:rPr>
              <w:t xml:space="preserve">The State monitors test administration in its districts and schools to ensure that appropriate assessments, with or without accommodations, are selected for </w:t>
            </w:r>
            <w:r w:rsidRPr="005D0DE4">
              <w:rPr>
                <w:sz w:val="20"/>
                <w:szCs w:val="20"/>
              </w:rPr>
              <w:t>all students with disabilities</w:t>
            </w:r>
            <w:r w:rsidRPr="005D0DE4">
              <w:rPr>
                <w:bCs/>
                <w:sz w:val="20"/>
                <w:szCs w:val="20"/>
              </w:rPr>
              <w:t xml:space="preserve"> and ELs so that they are appropriately included in assessments and receive accommodations that are:  </w:t>
            </w:r>
          </w:p>
          <w:p w14:paraId="390796FB" w14:textId="77777777" w:rsidR="004B0E92" w:rsidRPr="005D0DE4" w:rsidRDefault="004B0E92" w:rsidP="008D31CB">
            <w:pPr>
              <w:pStyle w:val="ListParagraph"/>
              <w:numPr>
                <w:ilvl w:val="0"/>
                <w:numId w:val="9"/>
              </w:numPr>
              <w:ind w:left="360"/>
              <w:rPr>
                <w:bCs/>
                <w:sz w:val="20"/>
                <w:szCs w:val="20"/>
              </w:rPr>
            </w:pPr>
            <w:r w:rsidRPr="005D0DE4">
              <w:rPr>
                <w:bCs/>
                <w:sz w:val="20"/>
                <w:szCs w:val="20"/>
              </w:rPr>
              <w:t>Consistent with the State’s policies for accommodations;</w:t>
            </w:r>
          </w:p>
          <w:p w14:paraId="7337FFA9" w14:textId="77777777" w:rsidR="004B0E92" w:rsidRPr="005D0DE4" w:rsidRDefault="004B0E92" w:rsidP="008D31CB">
            <w:pPr>
              <w:pStyle w:val="ListParagraph"/>
              <w:numPr>
                <w:ilvl w:val="0"/>
                <w:numId w:val="9"/>
              </w:numPr>
              <w:ind w:left="360"/>
              <w:rPr>
                <w:bCs/>
                <w:sz w:val="20"/>
                <w:szCs w:val="20"/>
              </w:rPr>
            </w:pPr>
            <w:r w:rsidRPr="005D0DE4">
              <w:rPr>
                <w:bCs/>
                <w:sz w:val="20"/>
                <w:szCs w:val="20"/>
              </w:rPr>
              <w:t>Appropriate for addressing a student’s disability or language needs for each assessment administered;</w:t>
            </w:r>
          </w:p>
          <w:p w14:paraId="4657E67D" w14:textId="77777777" w:rsidR="004B0E92" w:rsidRPr="005D0DE4" w:rsidRDefault="004B0E92" w:rsidP="008D31CB">
            <w:pPr>
              <w:pStyle w:val="ListParagraph"/>
              <w:numPr>
                <w:ilvl w:val="0"/>
                <w:numId w:val="9"/>
              </w:numPr>
              <w:ind w:left="360"/>
              <w:rPr>
                <w:bCs/>
                <w:sz w:val="20"/>
                <w:szCs w:val="20"/>
              </w:rPr>
            </w:pPr>
            <w:r w:rsidRPr="005D0DE4">
              <w:rPr>
                <w:sz w:val="20"/>
              </w:rPr>
              <w:t xml:space="preserve">Consistent with accommodations provided to the students during instruction and/or practice; </w:t>
            </w:r>
          </w:p>
          <w:p w14:paraId="3532190F" w14:textId="77777777" w:rsidR="004B0E92" w:rsidRPr="005D0DE4" w:rsidRDefault="004B0E92" w:rsidP="008D31CB">
            <w:pPr>
              <w:pStyle w:val="ListParagraph"/>
              <w:numPr>
                <w:ilvl w:val="0"/>
                <w:numId w:val="9"/>
              </w:numPr>
              <w:ind w:left="360"/>
              <w:rPr>
                <w:bCs/>
                <w:sz w:val="20"/>
                <w:szCs w:val="20"/>
              </w:rPr>
            </w:pPr>
            <w:r w:rsidRPr="005D0DE4">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5D0DE4">
              <w:rPr>
                <w:bCs/>
                <w:sz w:val="20"/>
                <w:szCs w:val="20"/>
              </w:rPr>
              <w:t xml:space="preserve">; </w:t>
            </w:r>
          </w:p>
          <w:p w14:paraId="5DF83182" w14:textId="77777777" w:rsidR="004B0E92" w:rsidRPr="005D0DE4" w:rsidRDefault="004B0E92" w:rsidP="008D31CB">
            <w:pPr>
              <w:pStyle w:val="ListParagraph"/>
              <w:numPr>
                <w:ilvl w:val="0"/>
                <w:numId w:val="9"/>
              </w:numPr>
              <w:ind w:left="360"/>
              <w:rPr>
                <w:bCs/>
                <w:sz w:val="20"/>
                <w:szCs w:val="20"/>
              </w:rPr>
            </w:pPr>
            <w:r w:rsidRPr="005D0DE4">
              <w:rPr>
                <w:sz w:val="20"/>
              </w:rPr>
              <w:t>Administered with fidelity to test administration procedures;</w:t>
            </w:r>
          </w:p>
          <w:p w14:paraId="159038FF" w14:textId="77777777" w:rsidR="004B0E92" w:rsidRPr="005D0DE4" w:rsidRDefault="004B0E92" w:rsidP="008D31CB">
            <w:pPr>
              <w:pStyle w:val="ListParagraph"/>
              <w:numPr>
                <w:ilvl w:val="0"/>
                <w:numId w:val="9"/>
              </w:numPr>
              <w:ind w:left="360"/>
              <w:rPr>
                <w:bCs/>
                <w:sz w:val="20"/>
                <w:szCs w:val="20"/>
              </w:rPr>
            </w:pPr>
            <w:r w:rsidRPr="005D0DE4">
              <w:rPr>
                <w:bCs/>
                <w:sz w:val="20"/>
                <w:szCs w:val="20"/>
              </w:rPr>
              <w:t>Monitored for administrations of all required ELP assessments, and AELPA.</w:t>
            </w:r>
          </w:p>
          <w:p w14:paraId="58E75046" w14:textId="77777777" w:rsidR="004B0E92" w:rsidRPr="0077197F" w:rsidRDefault="004B0E92" w:rsidP="00385738">
            <w:pPr>
              <w:rPr>
                <w:sz w:val="20"/>
                <w:szCs w:val="20"/>
              </w:rPr>
            </w:pPr>
          </w:p>
        </w:tc>
        <w:tc>
          <w:tcPr>
            <w:tcW w:w="4779" w:type="dxa"/>
            <w:shd w:val="clear" w:color="auto" w:fill="auto"/>
          </w:tcPr>
          <w:p w14:paraId="3CFF6BC4" w14:textId="77777777" w:rsidR="004B0E92" w:rsidRPr="005D0DE4" w:rsidRDefault="004B0E92" w:rsidP="00385738">
            <w:pPr>
              <w:autoSpaceDE w:val="0"/>
              <w:autoSpaceDN w:val="0"/>
              <w:adjustRightInd w:val="0"/>
              <w:rPr>
                <w:rFonts w:eastAsiaTheme="minorHAnsi"/>
                <w:sz w:val="20"/>
                <w:szCs w:val="20"/>
              </w:rPr>
            </w:pPr>
            <w:r w:rsidRPr="005D0DE4">
              <w:rPr>
                <w:rFonts w:eastAsiaTheme="minorHAnsi"/>
                <w:sz w:val="20"/>
                <w:szCs w:val="20"/>
              </w:rPr>
              <w:t>Office of Federal Programs FY19 Monitoring</w:t>
            </w:r>
          </w:p>
          <w:p w14:paraId="2DD60BFB" w14:textId="77777777" w:rsidR="004B0E92" w:rsidRDefault="004B0E92" w:rsidP="00385738">
            <w:pPr>
              <w:autoSpaceDE w:val="0"/>
              <w:autoSpaceDN w:val="0"/>
              <w:adjustRightInd w:val="0"/>
              <w:rPr>
                <w:rFonts w:eastAsiaTheme="minorHAnsi"/>
                <w:sz w:val="20"/>
                <w:szCs w:val="20"/>
              </w:rPr>
            </w:pPr>
            <w:r w:rsidRPr="005D0DE4">
              <w:rPr>
                <w:rFonts w:eastAsiaTheme="minorHAnsi"/>
                <w:sz w:val="20"/>
                <w:szCs w:val="20"/>
              </w:rPr>
              <w:t>Packet, February 2019 [R]</w:t>
            </w:r>
          </w:p>
          <w:p w14:paraId="0796647E" w14:textId="77777777" w:rsidR="004B0E92" w:rsidRDefault="004B0E92" w:rsidP="00385738">
            <w:pPr>
              <w:autoSpaceDE w:val="0"/>
              <w:autoSpaceDN w:val="0"/>
              <w:adjustRightInd w:val="0"/>
              <w:rPr>
                <w:rFonts w:eastAsiaTheme="minorHAnsi"/>
                <w:sz w:val="20"/>
                <w:szCs w:val="20"/>
              </w:rPr>
            </w:pPr>
          </w:p>
          <w:p w14:paraId="2F99F41D" w14:textId="77777777" w:rsidR="004B0E92" w:rsidRDefault="004B0E92" w:rsidP="00385738">
            <w:pPr>
              <w:autoSpaceDE w:val="0"/>
              <w:autoSpaceDN w:val="0"/>
              <w:adjustRightInd w:val="0"/>
              <w:rPr>
                <w:rFonts w:eastAsiaTheme="minorHAnsi"/>
                <w:strike/>
                <w:sz w:val="20"/>
                <w:szCs w:val="20"/>
              </w:rPr>
            </w:pPr>
            <w:r w:rsidRPr="005D0DE4">
              <w:rPr>
                <w:rFonts w:eastAsiaTheme="minorHAnsi"/>
                <w:sz w:val="20"/>
                <w:szCs w:val="20"/>
              </w:rPr>
              <w:t>Testing Irregularity Report</w:t>
            </w:r>
            <w:r w:rsidRPr="004E33D1">
              <w:rPr>
                <w:rFonts w:eastAsiaTheme="minorHAnsi"/>
                <w:sz w:val="20"/>
                <w:szCs w:val="20"/>
              </w:rPr>
              <w:t xml:space="preserve"> Form</w:t>
            </w:r>
            <w:r>
              <w:rPr>
                <w:rFonts w:eastAsiaTheme="minorHAnsi"/>
                <w:strike/>
                <w:sz w:val="20"/>
                <w:szCs w:val="20"/>
              </w:rPr>
              <w:t xml:space="preserve"> </w:t>
            </w:r>
          </w:p>
          <w:p w14:paraId="4036DB2B" w14:textId="77777777" w:rsidR="004B0E92" w:rsidRDefault="004B0E92" w:rsidP="00385738">
            <w:pPr>
              <w:autoSpaceDE w:val="0"/>
              <w:autoSpaceDN w:val="0"/>
              <w:adjustRightInd w:val="0"/>
              <w:rPr>
                <w:rFonts w:eastAsiaTheme="minorHAnsi"/>
                <w:strike/>
                <w:sz w:val="20"/>
                <w:szCs w:val="20"/>
              </w:rPr>
            </w:pPr>
          </w:p>
          <w:p w14:paraId="1382EA46"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MS Test Audit-Monitoring Instrument</w:t>
            </w:r>
          </w:p>
          <w:p w14:paraId="20623741" w14:textId="77777777" w:rsidR="004B0E92" w:rsidRDefault="004B0E92" w:rsidP="00385738">
            <w:pPr>
              <w:autoSpaceDE w:val="0"/>
              <w:autoSpaceDN w:val="0"/>
              <w:adjustRightInd w:val="0"/>
              <w:rPr>
                <w:rFonts w:eastAsiaTheme="minorHAnsi"/>
                <w:sz w:val="20"/>
                <w:szCs w:val="20"/>
              </w:rPr>
            </w:pPr>
          </w:p>
          <w:p w14:paraId="72EE7873"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MS Public School Accountability Standards, 10-</w:t>
            </w:r>
          </w:p>
          <w:p w14:paraId="418FCAB0"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2018, Appendix F (Standard 16), pgs. 92-102.</w:t>
            </w:r>
          </w:p>
          <w:p w14:paraId="445FA5F8" w14:textId="77777777" w:rsidR="004B0E92" w:rsidRDefault="004B0E92" w:rsidP="00385738">
            <w:pPr>
              <w:autoSpaceDE w:val="0"/>
              <w:autoSpaceDN w:val="0"/>
              <w:adjustRightInd w:val="0"/>
              <w:rPr>
                <w:rFonts w:eastAsiaTheme="minorHAnsi"/>
                <w:sz w:val="20"/>
                <w:szCs w:val="20"/>
              </w:rPr>
            </w:pPr>
          </w:p>
          <w:p w14:paraId="246EE161" w14:textId="77777777" w:rsidR="004B0E92" w:rsidRPr="005D0DE4" w:rsidRDefault="004B0E92" w:rsidP="00385738">
            <w:pPr>
              <w:autoSpaceDE w:val="0"/>
              <w:autoSpaceDN w:val="0"/>
              <w:adjustRightInd w:val="0"/>
              <w:rPr>
                <w:rFonts w:eastAsiaTheme="minorHAnsi"/>
                <w:sz w:val="20"/>
                <w:szCs w:val="20"/>
              </w:rPr>
            </w:pPr>
            <w:r w:rsidRPr="005D0DE4">
              <w:rPr>
                <w:rFonts w:eastAsiaTheme="minorHAnsi"/>
                <w:sz w:val="20"/>
                <w:szCs w:val="20"/>
              </w:rPr>
              <w:t>MS Public School Accountability Standards,</w:t>
            </w:r>
          </w:p>
          <w:p w14:paraId="4CC90840" w14:textId="77777777" w:rsidR="004B0E92" w:rsidRPr="005D0DE4" w:rsidRDefault="004B0E92" w:rsidP="00385738">
            <w:pPr>
              <w:autoSpaceDE w:val="0"/>
              <w:autoSpaceDN w:val="0"/>
              <w:adjustRightInd w:val="0"/>
              <w:rPr>
                <w:rFonts w:eastAsiaTheme="minorHAnsi"/>
                <w:sz w:val="20"/>
                <w:szCs w:val="20"/>
              </w:rPr>
            </w:pPr>
            <w:r w:rsidRPr="005D0DE4">
              <w:rPr>
                <w:rFonts w:eastAsiaTheme="minorHAnsi"/>
                <w:sz w:val="20"/>
                <w:szCs w:val="20"/>
              </w:rPr>
              <w:t>October 2018, Section 5.3 Special Test Audits,</w:t>
            </w:r>
          </w:p>
          <w:p w14:paraId="574E5A10" w14:textId="77777777" w:rsidR="004B0E92" w:rsidRDefault="004B0E92" w:rsidP="00385738">
            <w:pPr>
              <w:pStyle w:val="ListParagraph"/>
              <w:ind w:left="0"/>
              <w:rPr>
                <w:rFonts w:eastAsiaTheme="minorHAnsi"/>
                <w:sz w:val="20"/>
                <w:szCs w:val="20"/>
              </w:rPr>
            </w:pPr>
            <w:r w:rsidRPr="005D0DE4">
              <w:rPr>
                <w:rFonts w:eastAsiaTheme="minorHAnsi"/>
                <w:sz w:val="20"/>
                <w:szCs w:val="20"/>
              </w:rPr>
              <w:t>pg.12, pg. 94 Section 4 Item 5d.</w:t>
            </w:r>
          </w:p>
          <w:p w14:paraId="73E1F758" w14:textId="77777777" w:rsidR="004B0E92" w:rsidRDefault="004B0E92" w:rsidP="00385738">
            <w:pPr>
              <w:pStyle w:val="ListParagraph"/>
              <w:ind w:left="0"/>
              <w:rPr>
                <w:rFonts w:eastAsiaTheme="minorHAnsi"/>
                <w:sz w:val="20"/>
                <w:szCs w:val="20"/>
              </w:rPr>
            </w:pPr>
          </w:p>
          <w:p w14:paraId="3EDADB83" w14:textId="77777777" w:rsidR="004B0E92" w:rsidRPr="00217793" w:rsidRDefault="004B0E92" w:rsidP="00385738">
            <w:pPr>
              <w:pStyle w:val="ListParagraph"/>
              <w:ind w:left="0"/>
              <w:rPr>
                <w:color w:val="FF0000"/>
                <w:sz w:val="20"/>
                <w:szCs w:val="20"/>
              </w:rPr>
            </w:pPr>
          </w:p>
        </w:tc>
        <w:tc>
          <w:tcPr>
            <w:tcW w:w="5013" w:type="dxa"/>
            <w:shd w:val="clear" w:color="auto" w:fill="auto"/>
          </w:tcPr>
          <w:p w14:paraId="6D2403D5" w14:textId="77777777" w:rsidR="004B0E92" w:rsidRDefault="004B0E92" w:rsidP="00385738">
            <w:pPr>
              <w:autoSpaceDE w:val="0"/>
              <w:autoSpaceDN w:val="0"/>
              <w:adjustRightInd w:val="0"/>
              <w:rPr>
                <w:sz w:val="20"/>
                <w:szCs w:val="20"/>
              </w:rPr>
            </w:pPr>
            <w:r>
              <w:rPr>
                <w:sz w:val="20"/>
                <w:szCs w:val="20"/>
              </w:rPr>
              <w:t>General guidance was provided for test administration monitoring, including general guidance for monitoring of administering assessments with accommodations. As stated in CE 5.3, peers could not find documentation of consistency of guidance between the vendor and the state regarding policies and procedures for administering assessments with accommodations.</w:t>
            </w:r>
          </w:p>
          <w:p w14:paraId="19B3FB04" w14:textId="77777777" w:rsidR="004B0E92" w:rsidRDefault="004B0E92" w:rsidP="00385738">
            <w:pPr>
              <w:autoSpaceDE w:val="0"/>
              <w:autoSpaceDN w:val="0"/>
              <w:adjustRightInd w:val="0"/>
              <w:rPr>
                <w:sz w:val="20"/>
                <w:szCs w:val="20"/>
              </w:rPr>
            </w:pPr>
          </w:p>
          <w:p w14:paraId="28B18D04" w14:textId="77777777" w:rsidR="004B0E92" w:rsidRPr="004E33D1" w:rsidRDefault="004B0E92" w:rsidP="00385738">
            <w:pPr>
              <w:autoSpaceDE w:val="0"/>
              <w:autoSpaceDN w:val="0"/>
              <w:adjustRightInd w:val="0"/>
              <w:rPr>
                <w:rFonts w:eastAsiaTheme="minorHAnsi"/>
                <w:sz w:val="20"/>
                <w:szCs w:val="20"/>
              </w:rPr>
            </w:pPr>
            <w:r>
              <w:rPr>
                <w:sz w:val="20"/>
                <w:szCs w:val="20"/>
              </w:rPr>
              <w:t xml:space="preserve">The Office of Federal Programs FY 19 Monitoring Packet document does not provide sufficient evidence for this CE. The document </w:t>
            </w:r>
            <w:r>
              <w:rPr>
                <w:rFonts w:eastAsiaTheme="minorHAnsi"/>
                <w:sz w:val="20"/>
                <w:szCs w:val="20"/>
              </w:rPr>
              <w:t xml:space="preserve">refers more to </w:t>
            </w:r>
            <w:r w:rsidRPr="004E33D1">
              <w:rPr>
                <w:rFonts w:eastAsiaTheme="minorHAnsi"/>
                <w:sz w:val="20"/>
                <w:szCs w:val="20"/>
              </w:rPr>
              <w:t>overall program monitoring</w:t>
            </w:r>
            <w:r>
              <w:rPr>
                <w:rFonts w:eastAsiaTheme="minorHAnsi"/>
                <w:sz w:val="20"/>
                <w:szCs w:val="20"/>
              </w:rPr>
              <w:t>,</w:t>
            </w:r>
            <w:r w:rsidRPr="004E33D1">
              <w:rPr>
                <w:rFonts w:eastAsiaTheme="minorHAnsi"/>
                <w:sz w:val="20"/>
                <w:szCs w:val="20"/>
              </w:rPr>
              <w:t xml:space="preserve"> including budget</w:t>
            </w:r>
            <w:r>
              <w:rPr>
                <w:rFonts w:eastAsiaTheme="minorHAnsi"/>
                <w:sz w:val="20"/>
                <w:szCs w:val="20"/>
              </w:rPr>
              <w:t>, with only some mention of parent notification and test security.</w:t>
            </w:r>
          </w:p>
          <w:p w14:paraId="3E7B8DA6" w14:textId="77777777" w:rsidR="004B0E92" w:rsidRDefault="004B0E92" w:rsidP="00385738">
            <w:pPr>
              <w:autoSpaceDE w:val="0"/>
              <w:autoSpaceDN w:val="0"/>
              <w:adjustRightInd w:val="0"/>
              <w:rPr>
                <w:sz w:val="20"/>
                <w:szCs w:val="20"/>
              </w:rPr>
            </w:pPr>
          </w:p>
          <w:p w14:paraId="24F5DFD0"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Peers could find no evidence of any systematic process to monitor test administration for special populations, results of any self-assessments conducted, or SEA responses to these self-assessments.</w:t>
            </w:r>
          </w:p>
          <w:p w14:paraId="0798057C" w14:textId="77777777" w:rsidR="004B0E92" w:rsidRDefault="004B0E92" w:rsidP="00385738">
            <w:pPr>
              <w:autoSpaceDE w:val="0"/>
              <w:autoSpaceDN w:val="0"/>
              <w:adjustRightInd w:val="0"/>
              <w:rPr>
                <w:rFonts w:eastAsiaTheme="minorHAnsi"/>
                <w:sz w:val="20"/>
                <w:szCs w:val="20"/>
              </w:rPr>
            </w:pPr>
          </w:p>
          <w:p w14:paraId="6E170E22" w14:textId="77777777" w:rsidR="004B0E92" w:rsidRDefault="004B0E92" w:rsidP="00385738">
            <w:pPr>
              <w:rPr>
                <w:sz w:val="20"/>
                <w:szCs w:val="20"/>
              </w:rPr>
            </w:pPr>
            <w:r w:rsidRPr="004E33D1">
              <w:rPr>
                <w:sz w:val="20"/>
                <w:szCs w:val="20"/>
              </w:rPr>
              <w:t>While evidence was provided regarding requirements to train staff in proper administration procedures</w:t>
            </w:r>
            <w:r>
              <w:rPr>
                <w:sz w:val="20"/>
                <w:szCs w:val="20"/>
              </w:rPr>
              <w:t xml:space="preserve"> and procedures to detect irregularities</w:t>
            </w:r>
            <w:r w:rsidRPr="004E33D1">
              <w:rPr>
                <w:sz w:val="20"/>
                <w:szCs w:val="20"/>
              </w:rPr>
              <w:t>, peers could not find evidence that training included information on administering assessments with accommodations.</w:t>
            </w:r>
          </w:p>
          <w:p w14:paraId="05860F03" w14:textId="77777777" w:rsidR="004B0E92" w:rsidRPr="004E33D1" w:rsidRDefault="004B0E92" w:rsidP="00385738">
            <w:pPr>
              <w:rPr>
                <w:sz w:val="20"/>
                <w:szCs w:val="20"/>
              </w:rPr>
            </w:pPr>
          </w:p>
          <w:p w14:paraId="02FAA5DC" w14:textId="77777777" w:rsidR="004B0E92" w:rsidRDefault="004B0E92" w:rsidP="00385738">
            <w:pPr>
              <w:rPr>
                <w:sz w:val="20"/>
                <w:szCs w:val="20"/>
              </w:rPr>
            </w:pPr>
            <w:r>
              <w:rPr>
                <w:sz w:val="20"/>
                <w:szCs w:val="20"/>
              </w:rPr>
              <w:t>The t</w:t>
            </w:r>
            <w:r w:rsidRPr="004E33D1">
              <w:rPr>
                <w:sz w:val="20"/>
                <w:szCs w:val="20"/>
              </w:rPr>
              <w:t xml:space="preserve">est audit monitoring form includes </w:t>
            </w:r>
            <w:r>
              <w:rPr>
                <w:sz w:val="20"/>
                <w:szCs w:val="20"/>
              </w:rPr>
              <w:t xml:space="preserve">only one question </w:t>
            </w:r>
            <w:r w:rsidRPr="004E33D1">
              <w:rPr>
                <w:sz w:val="20"/>
                <w:szCs w:val="20"/>
              </w:rPr>
              <w:t xml:space="preserve">about ELLs and </w:t>
            </w:r>
            <w:r>
              <w:rPr>
                <w:sz w:val="20"/>
                <w:szCs w:val="20"/>
              </w:rPr>
              <w:t xml:space="preserve">only one question about </w:t>
            </w:r>
            <w:r w:rsidRPr="004E33D1">
              <w:rPr>
                <w:sz w:val="20"/>
                <w:szCs w:val="20"/>
              </w:rPr>
              <w:t>SWDs, including</w:t>
            </w:r>
            <w:r>
              <w:rPr>
                <w:sz w:val="20"/>
                <w:szCs w:val="20"/>
              </w:rPr>
              <w:t xml:space="preserve"> appropriate procedures, </w:t>
            </w:r>
            <w:r w:rsidRPr="004E33D1">
              <w:rPr>
                <w:sz w:val="20"/>
                <w:szCs w:val="20"/>
              </w:rPr>
              <w:t>and whether there w</w:t>
            </w:r>
            <w:r>
              <w:rPr>
                <w:sz w:val="20"/>
                <w:szCs w:val="20"/>
              </w:rPr>
              <w:t xml:space="preserve">as documentation to support </w:t>
            </w:r>
            <w:r w:rsidRPr="004E33D1">
              <w:rPr>
                <w:sz w:val="20"/>
                <w:szCs w:val="20"/>
              </w:rPr>
              <w:t xml:space="preserve">accommodations. </w:t>
            </w:r>
          </w:p>
          <w:p w14:paraId="64B98C23" w14:textId="77777777" w:rsidR="004B0E92" w:rsidRDefault="004B0E92" w:rsidP="00385738">
            <w:pPr>
              <w:rPr>
                <w:sz w:val="20"/>
                <w:szCs w:val="20"/>
              </w:rPr>
            </w:pPr>
          </w:p>
          <w:p w14:paraId="3D4202CB" w14:textId="77777777" w:rsidR="004B0E92" w:rsidRPr="004E33D1" w:rsidRDefault="004B0E92" w:rsidP="00385738">
            <w:pPr>
              <w:rPr>
                <w:color w:val="0070C0"/>
                <w:sz w:val="20"/>
                <w:szCs w:val="20"/>
              </w:rPr>
            </w:pPr>
            <w:r w:rsidRPr="004E33D1">
              <w:rPr>
                <w:sz w:val="20"/>
                <w:szCs w:val="20"/>
              </w:rPr>
              <w:t>It was</w:t>
            </w:r>
            <w:r>
              <w:rPr>
                <w:sz w:val="20"/>
                <w:szCs w:val="20"/>
              </w:rPr>
              <w:t xml:space="preserve"> </w:t>
            </w:r>
            <w:r w:rsidRPr="004E33D1">
              <w:rPr>
                <w:sz w:val="20"/>
                <w:szCs w:val="20"/>
              </w:rPr>
              <w:t>unclear how many sessions are monitored per year</w:t>
            </w:r>
            <w:r>
              <w:rPr>
                <w:sz w:val="20"/>
                <w:szCs w:val="20"/>
              </w:rPr>
              <w:t>,</w:t>
            </w:r>
            <w:r w:rsidRPr="004E33D1">
              <w:rPr>
                <w:sz w:val="20"/>
                <w:szCs w:val="20"/>
              </w:rPr>
              <w:t xml:space="preserve"> or whether the</w:t>
            </w:r>
            <w:r>
              <w:rPr>
                <w:sz w:val="20"/>
                <w:szCs w:val="20"/>
              </w:rPr>
              <w:t xml:space="preserve"> monitoring</w:t>
            </w:r>
            <w:r w:rsidRPr="004E33D1">
              <w:rPr>
                <w:sz w:val="20"/>
                <w:szCs w:val="20"/>
              </w:rPr>
              <w:t xml:space="preserve"> approach include</w:t>
            </w:r>
            <w:r>
              <w:rPr>
                <w:sz w:val="20"/>
                <w:szCs w:val="20"/>
              </w:rPr>
              <w:t xml:space="preserve">s sampling of </w:t>
            </w:r>
            <w:r w:rsidRPr="004E33D1">
              <w:rPr>
                <w:sz w:val="20"/>
                <w:szCs w:val="20"/>
              </w:rPr>
              <w:t xml:space="preserve">ELP assessments. </w:t>
            </w:r>
            <w:r>
              <w:rPr>
                <w:sz w:val="20"/>
                <w:szCs w:val="20"/>
              </w:rPr>
              <w:t xml:space="preserve">Furthermore, it was </w:t>
            </w:r>
            <w:r w:rsidRPr="004E33D1">
              <w:rPr>
                <w:sz w:val="20"/>
                <w:szCs w:val="20"/>
              </w:rPr>
              <w:t xml:space="preserve">unclear how the monitoring approach would address consistency with accommodations provided during instruction, or </w:t>
            </w:r>
            <w:r>
              <w:rPr>
                <w:sz w:val="20"/>
                <w:szCs w:val="20"/>
              </w:rPr>
              <w:t xml:space="preserve">whether accommodations were </w:t>
            </w:r>
            <w:r w:rsidRPr="004E33D1">
              <w:rPr>
                <w:sz w:val="20"/>
                <w:szCs w:val="20"/>
              </w:rPr>
              <w:t>appropriate</w:t>
            </w:r>
            <w:r>
              <w:rPr>
                <w:sz w:val="20"/>
                <w:szCs w:val="20"/>
              </w:rPr>
              <w:t xml:space="preserve"> for addressin</w:t>
            </w:r>
            <w:r w:rsidRPr="004E33D1">
              <w:rPr>
                <w:sz w:val="20"/>
                <w:szCs w:val="20"/>
              </w:rPr>
              <w:t xml:space="preserve">g a student’s </w:t>
            </w:r>
            <w:r>
              <w:rPr>
                <w:sz w:val="20"/>
                <w:szCs w:val="20"/>
              </w:rPr>
              <w:t xml:space="preserve">accommodations </w:t>
            </w:r>
            <w:r w:rsidRPr="004E33D1">
              <w:rPr>
                <w:sz w:val="20"/>
                <w:szCs w:val="20"/>
              </w:rPr>
              <w:t>needs during assessment.</w:t>
            </w:r>
          </w:p>
        </w:tc>
      </w:tr>
      <w:tr w:rsidR="004B0E92" w:rsidRPr="00532BBF" w14:paraId="79A47554" w14:textId="77777777" w:rsidTr="00385738">
        <w:tc>
          <w:tcPr>
            <w:tcW w:w="13410" w:type="dxa"/>
            <w:gridSpan w:val="3"/>
            <w:shd w:val="clear" w:color="auto" w:fill="auto"/>
          </w:tcPr>
          <w:p w14:paraId="37D175E4" w14:textId="77777777" w:rsidR="004B0E92" w:rsidRPr="00532BBF" w:rsidRDefault="004B0E92" w:rsidP="00385738">
            <w:pPr>
              <w:pStyle w:val="Heading4"/>
            </w:pPr>
            <w:r>
              <w:t xml:space="preserve">Section 5.4 </w:t>
            </w:r>
            <w:r w:rsidRPr="00532BBF">
              <w:t>Summary Statement</w:t>
            </w:r>
          </w:p>
        </w:tc>
      </w:tr>
      <w:tr w:rsidR="004B0E92" w:rsidRPr="00532BBF" w14:paraId="4A53D12E" w14:textId="77777777" w:rsidTr="00385738">
        <w:tc>
          <w:tcPr>
            <w:tcW w:w="13410" w:type="dxa"/>
            <w:gridSpan w:val="3"/>
            <w:shd w:val="clear" w:color="auto" w:fill="auto"/>
          </w:tcPr>
          <w:p w14:paraId="35361EFD" w14:textId="77777777" w:rsidR="004B0E92" w:rsidRPr="00532BBF" w:rsidRDefault="004B0E92" w:rsidP="00385738">
            <w:pPr>
              <w:rPr>
                <w:sz w:val="20"/>
                <w:szCs w:val="20"/>
              </w:rPr>
            </w:pPr>
            <w:r w:rsidRPr="00532BBF">
              <w:rPr>
                <w:sz w:val="20"/>
                <w:szCs w:val="20"/>
              </w:rPr>
              <w:t>___ No additional evidence is required or</w:t>
            </w:r>
          </w:p>
          <w:p w14:paraId="784F92F8" w14:textId="77777777" w:rsidR="004B0E92" w:rsidRPr="00532BBF" w:rsidRDefault="004B0E92" w:rsidP="00385738">
            <w:pPr>
              <w:rPr>
                <w:sz w:val="20"/>
                <w:szCs w:val="20"/>
              </w:rPr>
            </w:pPr>
          </w:p>
          <w:p w14:paraId="1FC623BD" w14:textId="77777777" w:rsidR="004B0E92" w:rsidRPr="00532BBF" w:rsidRDefault="004B0E92" w:rsidP="00385738">
            <w:pPr>
              <w:rPr>
                <w:sz w:val="20"/>
                <w:szCs w:val="20"/>
              </w:rPr>
            </w:pPr>
            <w:r>
              <w:rPr>
                <w:sz w:val="20"/>
                <w:szCs w:val="20"/>
              </w:rPr>
              <w:t>_X</w:t>
            </w:r>
            <w:r w:rsidRPr="00532BBF">
              <w:rPr>
                <w:sz w:val="20"/>
                <w:szCs w:val="20"/>
              </w:rPr>
              <w:t>_ The following additional evidence is needed/provide brief rationale:</w:t>
            </w:r>
          </w:p>
          <w:p w14:paraId="0F55D604" w14:textId="77777777" w:rsidR="004B0E92" w:rsidRPr="005D0DE4" w:rsidRDefault="004B0E92" w:rsidP="008D31CB">
            <w:pPr>
              <w:pStyle w:val="ListParagraph"/>
              <w:numPr>
                <w:ilvl w:val="0"/>
                <w:numId w:val="9"/>
              </w:numPr>
              <w:ind w:left="360"/>
              <w:rPr>
                <w:bCs/>
                <w:sz w:val="20"/>
                <w:szCs w:val="20"/>
              </w:rPr>
            </w:pPr>
            <w:r>
              <w:rPr>
                <w:bCs/>
                <w:sz w:val="20"/>
                <w:szCs w:val="20"/>
              </w:rPr>
              <w:t>Evidence of monitoring that tests are administered c</w:t>
            </w:r>
            <w:r w:rsidRPr="005D0DE4">
              <w:rPr>
                <w:bCs/>
                <w:sz w:val="20"/>
                <w:szCs w:val="20"/>
              </w:rPr>
              <w:t>onsistent with the State’s policies for accommodations;</w:t>
            </w:r>
          </w:p>
          <w:p w14:paraId="6B000E73" w14:textId="77777777" w:rsidR="004B0E92" w:rsidRPr="005D0DE4" w:rsidRDefault="004B0E92" w:rsidP="008D31CB">
            <w:pPr>
              <w:pStyle w:val="ListParagraph"/>
              <w:numPr>
                <w:ilvl w:val="0"/>
                <w:numId w:val="9"/>
              </w:numPr>
              <w:ind w:left="360"/>
              <w:rPr>
                <w:bCs/>
                <w:sz w:val="20"/>
                <w:szCs w:val="20"/>
              </w:rPr>
            </w:pPr>
            <w:r>
              <w:rPr>
                <w:bCs/>
                <w:sz w:val="20"/>
                <w:szCs w:val="20"/>
              </w:rPr>
              <w:t>Evidence of systematic monitoring that accommodations provided are a</w:t>
            </w:r>
            <w:r w:rsidRPr="005D0DE4">
              <w:rPr>
                <w:bCs/>
                <w:sz w:val="20"/>
                <w:szCs w:val="20"/>
              </w:rPr>
              <w:t>ppropriate for addressing a student’s disability or language needs for each assessment administered;</w:t>
            </w:r>
          </w:p>
          <w:p w14:paraId="7C37380D" w14:textId="77777777" w:rsidR="004B0E92" w:rsidRPr="005D0DE4" w:rsidRDefault="004B0E92" w:rsidP="008D31CB">
            <w:pPr>
              <w:pStyle w:val="ListParagraph"/>
              <w:numPr>
                <w:ilvl w:val="0"/>
                <w:numId w:val="9"/>
              </w:numPr>
              <w:ind w:left="360"/>
              <w:rPr>
                <w:bCs/>
                <w:sz w:val="20"/>
                <w:szCs w:val="20"/>
              </w:rPr>
            </w:pPr>
            <w:r>
              <w:rPr>
                <w:sz w:val="20"/>
              </w:rPr>
              <w:t>Evidence that accommodations provided during assessment are c</w:t>
            </w:r>
            <w:r w:rsidRPr="005D0DE4">
              <w:rPr>
                <w:sz w:val="20"/>
              </w:rPr>
              <w:t xml:space="preserve">onsistent with accommodations provided to the students during instruction and/or practice; </w:t>
            </w:r>
          </w:p>
          <w:p w14:paraId="6D6E48AD" w14:textId="77777777" w:rsidR="004B0E92" w:rsidRPr="005D0DE4" w:rsidRDefault="004B0E92" w:rsidP="008D31CB">
            <w:pPr>
              <w:pStyle w:val="ListParagraph"/>
              <w:numPr>
                <w:ilvl w:val="0"/>
                <w:numId w:val="9"/>
              </w:numPr>
              <w:ind w:left="360"/>
              <w:rPr>
                <w:bCs/>
                <w:sz w:val="20"/>
                <w:szCs w:val="20"/>
              </w:rPr>
            </w:pPr>
            <w:r>
              <w:rPr>
                <w:sz w:val="20"/>
              </w:rPr>
              <w:t>Evidence that accommodations provided during assessment are c</w:t>
            </w:r>
            <w:r w:rsidRPr="005D0DE4">
              <w:rPr>
                <w:sz w:val="20"/>
              </w:rPr>
              <w:t>onsistent with</w:t>
            </w:r>
            <w:r>
              <w:rPr>
                <w:sz w:val="20"/>
              </w:rPr>
              <w:t xml:space="preserve"> the student’s IEP under IDEA or accommodations u</w:t>
            </w:r>
            <w:r w:rsidRPr="005D0DE4">
              <w:rPr>
                <w:sz w:val="20"/>
              </w:rPr>
              <w:t>nder Section 504; or for students covered by Title II of the ADA,</w:t>
            </w:r>
            <w:r>
              <w:rPr>
                <w:sz w:val="20"/>
              </w:rPr>
              <w:t xml:space="preserve"> or through</w:t>
            </w:r>
            <w:r w:rsidRPr="005D0DE4">
              <w:rPr>
                <w:sz w:val="20"/>
              </w:rPr>
              <w:t xml:space="preserve"> another process for an EL</w:t>
            </w:r>
            <w:r w:rsidRPr="005D0DE4">
              <w:rPr>
                <w:bCs/>
                <w:sz w:val="20"/>
                <w:szCs w:val="20"/>
              </w:rPr>
              <w:t xml:space="preserve">; </w:t>
            </w:r>
          </w:p>
          <w:p w14:paraId="3AE6FBBA" w14:textId="77777777" w:rsidR="004B0E92" w:rsidRPr="00532BBF" w:rsidRDefault="004B0E92" w:rsidP="008D31CB">
            <w:pPr>
              <w:pStyle w:val="ListParagraph"/>
              <w:numPr>
                <w:ilvl w:val="0"/>
                <w:numId w:val="9"/>
              </w:numPr>
              <w:ind w:left="360"/>
              <w:rPr>
                <w:sz w:val="20"/>
                <w:szCs w:val="20"/>
              </w:rPr>
            </w:pPr>
            <w:r>
              <w:rPr>
                <w:sz w:val="20"/>
              </w:rPr>
              <w:t>Evidence that assessments are a</w:t>
            </w:r>
            <w:r w:rsidRPr="005D0DE4">
              <w:rPr>
                <w:sz w:val="20"/>
              </w:rPr>
              <w:t>dministered with fidelity to</w:t>
            </w:r>
            <w:r>
              <w:rPr>
                <w:sz w:val="20"/>
              </w:rPr>
              <w:t xml:space="preserve"> test administration procedures for all special populations</w:t>
            </w:r>
            <w:r w:rsidRPr="005D0DE4">
              <w:rPr>
                <w:bCs/>
                <w:sz w:val="20"/>
                <w:szCs w:val="20"/>
              </w:rPr>
              <w:t xml:space="preserve"> </w:t>
            </w:r>
          </w:p>
        </w:tc>
      </w:tr>
    </w:tbl>
    <w:p w14:paraId="0C8CBDE9" w14:textId="77777777" w:rsidR="004B0E92" w:rsidRDefault="004B0E92" w:rsidP="004B0E92">
      <w:pPr>
        <w:rPr>
          <w:b/>
          <w:sz w:val="20"/>
        </w:rPr>
      </w:pPr>
    </w:p>
    <w:p w14:paraId="0E5E5237" w14:textId="77777777" w:rsidR="004B0E92" w:rsidRDefault="004B0E92" w:rsidP="004B0E92">
      <w:pPr>
        <w:rPr>
          <w:b/>
          <w:sz w:val="20"/>
        </w:rPr>
      </w:pPr>
    </w:p>
    <w:p w14:paraId="5384AECB" w14:textId="77777777" w:rsidR="004B0E92" w:rsidRDefault="004B0E92" w:rsidP="004B0E92">
      <w:pPr>
        <w:rPr>
          <w:b/>
          <w:sz w:val="20"/>
        </w:rPr>
      </w:pPr>
    </w:p>
    <w:p w14:paraId="24327F09" w14:textId="77777777" w:rsidR="004B0E92" w:rsidRDefault="004B0E92" w:rsidP="004B0E92">
      <w:pPr>
        <w:rPr>
          <w:b/>
          <w:sz w:val="20"/>
        </w:rPr>
      </w:pPr>
    </w:p>
    <w:p w14:paraId="40403537" w14:textId="77777777" w:rsidR="004B0E92" w:rsidRDefault="004B0E92" w:rsidP="004B0E92">
      <w:pPr>
        <w:rPr>
          <w:b/>
          <w:sz w:val="20"/>
        </w:rPr>
      </w:pPr>
    </w:p>
    <w:p w14:paraId="7A465A9D" w14:textId="77777777" w:rsidR="004B0E92" w:rsidRPr="008A4204" w:rsidRDefault="004B0E92" w:rsidP="004B0E92">
      <w:pPr>
        <w:pStyle w:val="Heading1"/>
      </w:pPr>
      <w:r>
        <w:br w:type="page"/>
      </w:r>
      <w:bookmarkStart w:id="39" w:name="_Toc3354984"/>
      <w:r w:rsidRPr="008A4204">
        <w:t xml:space="preserve">SECTION 6: </w:t>
      </w:r>
      <w:r>
        <w:t>ELP</w:t>
      </w:r>
      <w:r w:rsidRPr="008A4204">
        <w:t xml:space="preserve"> ACHIEVEMENT STANDARDS AND REPORTING</w:t>
      </w:r>
      <w:bookmarkEnd w:id="39"/>
    </w:p>
    <w:p w14:paraId="780F3EDB" w14:textId="77777777" w:rsidR="004B0E92" w:rsidRPr="00A224A8" w:rsidRDefault="004B0E92" w:rsidP="004B0E92">
      <w:pPr>
        <w:pStyle w:val="Heading2"/>
      </w:pPr>
      <w:bookmarkStart w:id="40" w:name="_Toc3354985"/>
      <w:r w:rsidRPr="00B0610A">
        <w:t xml:space="preserve">Critical Element 6.1 – State Adoption of </w:t>
      </w:r>
      <w:r>
        <w:t>ELP</w:t>
      </w:r>
      <w:r w:rsidRPr="00B0610A">
        <w:t xml:space="preserve"> Achievement Standards</w:t>
      </w:r>
      <w:r w:rsidRPr="00A224A8">
        <w:t xml:space="preserve"> for All Students</w:t>
      </w:r>
      <w:bookmarkEnd w:id="4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28EA9758"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BEB4147"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B344C63"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6334B9"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68E3B1AC" w14:textId="77777777" w:rsidTr="00385738">
        <w:tc>
          <w:tcPr>
            <w:tcW w:w="3618" w:type="dxa"/>
            <w:shd w:val="clear" w:color="auto" w:fill="auto"/>
          </w:tcPr>
          <w:p w14:paraId="4ABCC171" w14:textId="77777777" w:rsidR="004B0E92" w:rsidRPr="002313D0" w:rsidRDefault="004B0E92" w:rsidP="00385738">
            <w:pPr>
              <w:rPr>
                <w:b/>
                <w:i/>
                <w:sz w:val="20"/>
              </w:rPr>
            </w:pPr>
          </w:p>
          <w:p w14:paraId="4655E7EA" w14:textId="77777777" w:rsidR="004B0E92" w:rsidRPr="00B94BDD" w:rsidRDefault="004B0E92" w:rsidP="00385738">
            <w:pPr>
              <w:rPr>
                <w:i/>
                <w:sz w:val="20"/>
              </w:rPr>
            </w:pPr>
            <w:r w:rsidRPr="00B94BDD">
              <w:rPr>
                <w:b/>
                <w:i/>
                <w:sz w:val="20"/>
              </w:rPr>
              <w:t>For ELP standards:</w:t>
            </w:r>
            <w:r w:rsidRPr="00B94BDD">
              <w:rPr>
                <w:i/>
                <w:sz w:val="20"/>
              </w:rPr>
              <w:t xml:space="preserve"> </w:t>
            </w:r>
          </w:p>
          <w:p w14:paraId="68AECA02" w14:textId="77777777" w:rsidR="004B0E92" w:rsidRPr="00B94BDD" w:rsidRDefault="004B0E92" w:rsidP="008D31CB">
            <w:pPr>
              <w:pStyle w:val="ListParagraph"/>
              <w:numPr>
                <w:ilvl w:val="0"/>
                <w:numId w:val="7"/>
              </w:numPr>
              <w:ind w:left="360"/>
              <w:rPr>
                <w:sz w:val="20"/>
                <w:szCs w:val="20"/>
              </w:rPr>
            </w:pPr>
            <w:r w:rsidRPr="00B94BDD">
              <w:rPr>
                <w:sz w:val="20"/>
                <w:szCs w:val="20"/>
              </w:rPr>
              <w:t>The State adopted ELP achievement standards  that address the different proficiency levels of ELs;</w:t>
            </w:r>
          </w:p>
          <w:p w14:paraId="14888BF1" w14:textId="77777777" w:rsidR="004B0E92" w:rsidRPr="002313D0" w:rsidRDefault="004B0E92" w:rsidP="008D31CB">
            <w:pPr>
              <w:numPr>
                <w:ilvl w:val="0"/>
                <w:numId w:val="6"/>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556D4E87" w14:textId="77777777" w:rsidR="004B0E92" w:rsidRPr="0077197F" w:rsidRDefault="004B0E92" w:rsidP="00385738">
            <w:pPr>
              <w:rPr>
                <w:sz w:val="20"/>
              </w:rPr>
            </w:pPr>
          </w:p>
        </w:tc>
        <w:tc>
          <w:tcPr>
            <w:tcW w:w="4779" w:type="dxa"/>
            <w:shd w:val="clear" w:color="auto" w:fill="auto"/>
          </w:tcPr>
          <w:p w14:paraId="5D6A70CD" w14:textId="77777777" w:rsidR="004B0E92" w:rsidRPr="001D1C56" w:rsidRDefault="004B0E92" w:rsidP="00385738">
            <w:pPr>
              <w:autoSpaceDE w:val="0"/>
              <w:autoSpaceDN w:val="0"/>
              <w:adjustRightInd w:val="0"/>
              <w:rPr>
                <w:rFonts w:eastAsiaTheme="minorHAnsi"/>
                <w:sz w:val="20"/>
                <w:szCs w:val="20"/>
              </w:rPr>
            </w:pPr>
            <w:r w:rsidRPr="001D1C56">
              <w:rPr>
                <w:rFonts w:eastAsiaTheme="minorHAnsi"/>
                <w:sz w:val="20"/>
                <w:szCs w:val="20"/>
              </w:rPr>
              <w:t>PreK-12 English Language Proficiency Standards</w:t>
            </w:r>
          </w:p>
          <w:p w14:paraId="5776478E" w14:textId="77777777" w:rsidR="004B0E92" w:rsidRPr="001D1C56" w:rsidRDefault="004B0E92" w:rsidP="00385738">
            <w:pPr>
              <w:autoSpaceDE w:val="0"/>
              <w:autoSpaceDN w:val="0"/>
              <w:adjustRightInd w:val="0"/>
              <w:rPr>
                <w:rFonts w:eastAsiaTheme="minorHAnsi"/>
                <w:sz w:val="20"/>
                <w:szCs w:val="20"/>
              </w:rPr>
            </w:pPr>
            <w:r w:rsidRPr="001D1C56">
              <w:rPr>
                <w:rFonts w:eastAsiaTheme="minorHAnsi"/>
                <w:sz w:val="20"/>
                <w:szCs w:val="20"/>
              </w:rPr>
              <w:t>[Augmentation of the World-Class Instructional</w:t>
            </w:r>
          </w:p>
          <w:p w14:paraId="6FA3FFAE" w14:textId="77777777" w:rsidR="004B0E92" w:rsidRPr="001D1C56" w:rsidRDefault="004B0E92" w:rsidP="00385738">
            <w:pPr>
              <w:autoSpaceDE w:val="0"/>
              <w:autoSpaceDN w:val="0"/>
              <w:adjustRightInd w:val="0"/>
              <w:rPr>
                <w:rFonts w:eastAsiaTheme="minorHAnsi"/>
                <w:sz w:val="20"/>
                <w:szCs w:val="20"/>
              </w:rPr>
            </w:pPr>
            <w:r w:rsidRPr="001D1C56">
              <w:rPr>
                <w:rFonts w:eastAsiaTheme="minorHAnsi"/>
                <w:sz w:val="20"/>
                <w:szCs w:val="20"/>
              </w:rPr>
              <w:t>Design and Assessment (WIDA) Consortium</w:t>
            </w:r>
          </w:p>
          <w:p w14:paraId="0194A209" w14:textId="77777777" w:rsidR="004B0E92" w:rsidRDefault="004B0E92" w:rsidP="00385738">
            <w:pPr>
              <w:autoSpaceDE w:val="0"/>
              <w:autoSpaceDN w:val="0"/>
              <w:adjustRightInd w:val="0"/>
              <w:rPr>
                <w:rFonts w:eastAsiaTheme="minorHAnsi"/>
                <w:sz w:val="20"/>
                <w:szCs w:val="20"/>
              </w:rPr>
            </w:pPr>
            <w:r w:rsidRPr="001D1C56">
              <w:rPr>
                <w:rFonts w:eastAsiaTheme="minorHAnsi"/>
                <w:sz w:val="20"/>
                <w:szCs w:val="20"/>
              </w:rPr>
              <w:t>English Language Proficiency Standards</w:t>
            </w:r>
            <w:r>
              <w:rPr>
                <w:rFonts w:eastAsiaTheme="minorHAnsi"/>
                <w:sz w:val="20"/>
                <w:szCs w:val="20"/>
              </w:rPr>
              <w:t xml:space="preserve"> </w:t>
            </w:r>
          </w:p>
          <w:p w14:paraId="3E18F56F" w14:textId="77777777" w:rsidR="004B0E92" w:rsidRDefault="004B0E92" w:rsidP="00385738">
            <w:pPr>
              <w:autoSpaceDE w:val="0"/>
              <w:autoSpaceDN w:val="0"/>
              <w:adjustRightInd w:val="0"/>
              <w:rPr>
                <w:rFonts w:eastAsiaTheme="minorHAnsi"/>
                <w:sz w:val="20"/>
                <w:szCs w:val="20"/>
              </w:rPr>
            </w:pPr>
          </w:p>
          <w:p w14:paraId="5E8C65B6" w14:textId="77777777" w:rsidR="004B0E92" w:rsidRDefault="004B0E92" w:rsidP="00385738">
            <w:pPr>
              <w:autoSpaceDE w:val="0"/>
              <w:autoSpaceDN w:val="0"/>
              <w:adjustRightInd w:val="0"/>
              <w:rPr>
                <w:rFonts w:eastAsiaTheme="minorHAnsi"/>
                <w:sz w:val="20"/>
                <w:szCs w:val="20"/>
              </w:rPr>
            </w:pPr>
            <w:r w:rsidRPr="001D1C56">
              <w:rPr>
                <w:rFonts w:eastAsiaTheme="minorHAnsi"/>
                <w:sz w:val="20"/>
                <w:szCs w:val="20"/>
              </w:rPr>
              <w:t>MDE-OSA Newsletter – February 24, 2016</w:t>
            </w:r>
          </w:p>
          <w:p w14:paraId="4B26D9DF" w14:textId="77777777" w:rsidR="004B0E92" w:rsidRDefault="004B0E92" w:rsidP="00385738">
            <w:pPr>
              <w:autoSpaceDE w:val="0"/>
              <w:autoSpaceDN w:val="0"/>
              <w:adjustRightInd w:val="0"/>
              <w:rPr>
                <w:rFonts w:eastAsiaTheme="minorHAnsi"/>
                <w:sz w:val="20"/>
                <w:szCs w:val="20"/>
              </w:rPr>
            </w:pPr>
          </w:p>
          <w:p w14:paraId="2C81294A" w14:textId="77777777" w:rsidR="004B0E92" w:rsidRPr="001D1C56" w:rsidRDefault="004B0E92" w:rsidP="00385738">
            <w:pPr>
              <w:autoSpaceDE w:val="0"/>
              <w:autoSpaceDN w:val="0"/>
              <w:adjustRightInd w:val="0"/>
              <w:rPr>
                <w:rFonts w:eastAsiaTheme="minorHAnsi"/>
                <w:sz w:val="20"/>
                <w:szCs w:val="20"/>
              </w:rPr>
            </w:pPr>
            <w:r w:rsidRPr="001D1C56">
              <w:rPr>
                <w:rFonts w:eastAsiaTheme="minorHAnsi"/>
                <w:sz w:val="20"/>
                <w:szCs w:val="20"/>
              </w:rPr>
              <w:t>MDE-OSA Newsletter - Monthly Update March</w:t>
            </w:r>
          </w:p>
          <w:p w14:paraId="7219B739" w14:textId="77777777" w:rsidR="004B0E92" w:rsidRDefault="004B0E92" w:rsidP="00385738">
            <w:pPr>
              <w:autoSpaceDE w:val="0"/>
              <w:autoSpaceDN w:val="0"/>
              <w:adjustRightInd w:val="0"/>
              <w:rPr>
                <w:rFonts w:eastAsiaTheme="minorHAnsi"/>
                <w:color w:val="FF0000"/>
                <w:sz w:val="20"/>
                <w:szCs w:val="20"/>
              </w:rPr>
            </w:pPr>
            <w:r w:rsidRPr="001D1C56">
              <w:rPr>
                <w:rFonts w:eastAsiaTheme="minorHAnsi"/>
                <w:sz w:val="20"/>
                <w:szCs w:val="20"/>
              </w:rPr>
              <w:t>2016</w:t>
            </w:r>
            <w:r>
              <w:rPr>
                <w:rFonts w:eastAsiaTheme="minorHAnsi"/>
                <w:sz w:val="20"/>
                <w:szCs w:val="20"/>
              </w:rPr>
              <w:t xml:space="preserve"> </w:t>
            </w:r>
            <w:r>
              <w:rPr>
                <w:rFonts w:eastAsiaTheme="minorHAnsi"/>
                <w:strike/>
                <w:sz w:val="20"/>
                <w:szCs w:val="20"/>
              </w:rPr>
              <w:t xml:space="preserve"> </w:t>
            </w:r>
          </w:p>
          <w:p w14:paraId="5F970083" w14:textId="77777777" w:rsidR="004B0E92" w:rsidRDefault="004B0E92" w:rsidP="00385738">
            <w:pPr>
              <w:autoSpaceDE w:val="0"/>
              <w:autoSpaceDN w:val="0"/>
              <w:adjustRightInd w:val="0"/>
              <w:rPr>
                <w:rFonts w:ascii="Wingdings-Regular" w:eastAsia="Wingdings-Regular" w:cs="Wingdings-Regular"/>
                <w:strike/>
                <w:sz w:val="20"/>
                <w:szCs w:val="20"/>
              </w:rPr>
            </w:pPr>
          </w:p>
          <w:p w14:paraId="3EFB96B4" w14:textId="77777777" w:rsidR="004B0E92" w:rsidRDefault="004B0E92" w:rsidP="00385738">
            <w:pPr>
              <w:autoSpaceDE w:val="0"/>
              <w:autoSpaceDN w:val="0"/>
              <w:adjustRightInd w:val="0"/>
              <w:rPr>
                <w:rFonts w:eastAsiaTheme="minorHAnsi"/>
                <w:sz w:val="20"/>
                <w:szCs w:val="20"/>
              </w:rPr>
            </w:pPr>
            <w:r w:rsidRPr="001D1C56">
              <w:rPr>
                <w:rFonts w:eastAsiaTheme="minorHAnsi"/>
                <w:sz w:val="20"/>
                <w:szCs w:val="20"/>
              </w:rPr>
              <w:t xml:space="preserve">LAS Links Notifications (Ongoing) </w:t>
            </w:r>
          </w:p>
          <w:p w14:paraId="54D14D8F" w14:textId="77777777" w:rsidR="004B0E92" w:rsidRPr="001D1C56" w:rsidRDefault="004B0E92" w:rsidP="00385738">
            <w:pPr>
              <w:autoSpaceDE w:val="0"/>
              <w:autoSpaceDN w:val="0"/>
              <w:adjustRightInd w:val="0"/>
              <w:rPr>
                <w:rFonts w:ascii="Wingdings-Regular" w:eastAsia="Wingdings-Regular" w:cs="Wingdings-Regular"/>
                <w:sz w:val="20"/>
                <w:szCs w:val="20"/>
              </w:rPr>
            </w:pPr>
          </w:p>
          <w:p w14:paraId="7C993C70" w14:textId="77777777" w:rsidR="004B0E92" w:rsidRPr="001D1C56" w:rsidRDefault="004B0E92" w:rsidP="00385738">
            <w:pPr>
              <w:autoSpaceDE w:val="0"/>
              <w:autoSpaceDN w:val="0"/>
              <w:adjustRightInd w:val="0"/>
              <w:rPr>
                <w:rFonts w:eastAsiaTheme="minorHAnsi"/>
                <w:sz w:val="20"/>
                <w:szCs w:val="20"/>
              </w:rPr>
            </w:pPr>
            <w:r w:rsidRPr="001D1C56">
              <w:rPr>
                <w:rFonts w:eastAsiaTheme="minorHAnsi"/>
                <w:sz w:val="20"/>
                <w:szCs w:val="20"/>
              </w:rPr>
              <w:t>MS English Learner Guidelines - Regulations,</w:t>
            </w:r>
          </w:p>
          <w:p w14:paraId="1DB09E8F" w14:textId="77777777" w:rsidR="004B0E92" w:rsidRPr="001D1C56" w:rsidRDefault="004B0E92" w:rsidP="00385738">
            <w:pPr>
              <w:autoSpaceDE w:val="0"/>
              <w:autoSpaceDN w:val="0"/>
              <w:adjustRightInd w:val="0"/>
              <w:rPr>
                <w:rFonts w:eastAsiaTheme="minorHAnsi"/>
                <w:sz w:val="20"/>
                <w:szCs w:val="20"/>
              </w:rPr>
            </w:pPr>
            <w:r w:rsidRPr="001D1C56">
              <w:rPr>
                <w:rFonts w:eastAsiaTheme="minorHAnsi"/>
                <w:sz w:val="20"/>
                <w:szCs w:val="20"/>
              </w:rPr>
              <w:t>Funding Guidance, and Instructional Supports -</w:t>
            </w:r>
          </w:p>
          <w:p w14:paraId="1BBF8FD2" w14:textId="77777777" w:rsidR="004B0E92" w:rsidRDefault="004B0E92" w:rsidP="00385738">
            <w:pPr>
              <w:autoSpaceDE w:val="0"/>
              <w:autoSpaceDN w:val="0"/>
              <w:adjustRightInd w:val="0"/>
              <w:rPr>
                <w:rFonts w:eastAsiaTheme="minorHAnsi"/>
                <w:sz w:val="20"/>
                <w:szCs w:val="20"/>
              </w:rPr>
            </w:pPr>
            <w:r w:rsidRPr="001D1C56">
              <w:rPr>
                <w:rFonts w:eastAsiaTheme="minorHAnsi"/>
                <w:sz w:val="20"/>
                <w:szCs w:val="20"/>
              </w:rPr>
              <w:t>May 2018R, pg. 27</w:t>
            </w:r>
          </w:p>
          <w:p w14:paraId="1EFD23CA" w14:textId="77777777" w:rsidR="004B0E92" w:rsidRDefault="004B0E92" w:rsidP="00385738">
            <w:pPr>
              <w:autoSpaceDE w:val="0"/>
              <w:autoSpaceDN w:val="0"/>
              <w:adjustRightInd w:val="0"/>
              <w:rPr>
                <w:rFonts w:eastAsiaTheme="minorHAnsi"/>
                <w:sz w:val="20"/>
                <w:szCs w:val="20"/>
              </w:rPr>
            </w:pPr>
          </w:p>
          <w:p w14:paraId="7052AE35" w14:textId="77777777" w:rsidR="004B0E92" w:rsidRPr="001D1C56" w:rsidRDefault="004B0E92" w:rsidP="00385738">
            <w:pPr>
              <w:autoSpaceDE w:val="0"/>
              <w:autoSpaceDN w:val="0"/>
              <w:adjustRightInd w:val="0"/>
              <w:rPr>
                <w:rFonts w:eastAsiaTheme="minorHAnsi"/>
                <w:sz w:val="20"/>
                <w:szCs w:val="20"/>
              </w:rPr>
            </w:pPr>
            <w:r w:rsidRPr="001D1C56">
              <w:rPr>
                <w:rFonts w:eastAsiaTheme="minorHAnsi"/>
                <w:sz w:val="20"/>
                <w:szCs w:val="20"/>
              </w:rPr>
              <w:t>LAS Links Proficiency Level Descriptors (English</w:t>
            </w:r>
          </w:p>
          <w:p w14:paraId="2EF21F71" w14:textId="77777777" w:rsidR="004B0E92" w:rsidRDefault="004B0E92" w:rsidP="00385738">
            <w:pPr>
              <w:autoSpaceDE w:val="0"/>
              <w:autoSpaceDN w:val="0"/>
              <w:adjustRightInd w:val="0"/>
              <w:rPr>
                <w:rFonts w:eastAsiaTheme="minorHAnsi"/>
                <w:sz w:val="20"/>
                <w:szCs w:val="20"/>
              </w:rPr>
            </w:pPr>
            <w:r w:rsidRPr="001D1C56">
              <w:rPr>
                <w:rFonts w:eastAsiaTheme="minorHAnsi"/>
                <w:sz w:val="20"/>
                <w:szCs w:val="20"/>
              </w:rPr>
              <w:t>and Spanish)</w:t>
            </w:r>
          </w:p>
          <w:p w14:paraId="19ACF304" w14:textId="77777777" w:rsidR="004B0E92" w:rsidRDefault="004B0E92" w:rsidP="00385738">
            <w:pPr>
              <w:autoSpaceDE w:val="0"/>
              <w:autoSpaceDN w:val="0"/>
              <w:adjustRightInd w:val="0"/>
              <w:rPr>
                <w:rFonts w:eastAsiaTheme="minorHAnsi"/>
                <w:sz w:val="20"/>
                <w:szCs w:val="20"/>
              </w:rPr>
            </w:pPr>
          </w:p>
          <w:p w14:paraId="1AF3A670" w14:textId="77777777" w:rsidR="004B0E92" w:rsidRPr="001D1C56" w:rsidRDefault="004B0E92" w:rsidP="00385738">
            <w:pPr>
              <w:autoSpaceDE w:val="0"/>
              <w:autoSpaceDN w:val="0"/>
              <w:adjustRightInd w:val="0"/>
              <w:rPr>
                <w:rFonts w:eastAsiaTheme="minorHAnsi"/>
                <w:sz w:val="20"/>
                <w:szCs w:val="20"/>
              </w:rPr>
            </w:pPr>
            <w:r w:rsidRPr="001D1C56">
              <w:rPr>
                <w:rFonts w:eastAsiaTheme="minorHAnsi"/>
                <w:sz w:val="20"/>
                <w:szCs w:val="20"/>
              </w:rPr>
              <w:t>LAS Links Proficiency Level Definitions (English</w:t>
            </w:r>
          </w:p>
          <w:p w14:paraId="1044E331" w14:textId="77777777" w:rsidR="004B0E92" w:rsidRDefault="004B0E92" w:rsidP="00385738">
            <w:pPr>
              <w:autoSpaceDE w:val="0"/>
              <w:autoSpaceDN w:val="0"/>
              <w:adjustRightInd w:val="0"/>
              <w:rPr>
                <w:rFonts w:eastAsiaTheme="minorHAnsi"/>
                <w:sz w:val="20"/>
                <w:szCs w:val="20"/>
              </w:rPr>
            </w:pPr>
            <w:r w:rsidRPr="001D1C56">
              <w:rPr>
                <w:rFonts w:eastAsiaTheme="minorHAnsi"/>
                <w:sz w:val="20"/>
                <w:szCs w:val="20"/>
              </w:rPr>
              <w:t>and Spanish)</w:t>
            </w:r>
          </w:p>
          <w:p w14:paraId="3DCC93BC" w14:textId="77777777" w:rsidR="004B0E92" w:rsidRDefault="004B0E92" w:rsidP="00385738">
            <w:pPr>
              <w:autoSpaceDE w:val="0"/>
              <w:autoSpaceDN w:val="0"/>
              <w:adjustRightInd w:val="0"/>
              <w:rPr>
                <w:rFonts w:eastAsiaTheme="minorHAnsi"/>
                <w:sz w:val="20"/>
                <w:szCs w:val="20"/>
              </w:rPr>
            </w:pPr>
          </w:p>
          <w:p w14:paraId="6C4C7154" w14:textId="77777777" w:rsidR="004B0E92" w:rsidRPr="001D1C56" w:rsidRDefault="004B0E92" w:rsidP="00385738">
            <w:pPr>
              <w:autoSpaceDE w:val="0"/>
              <w:autoSpaceDN w:val="0"/>
              <w:adjustRightInd w:val="0"/>
              <w:rPr>
                <w:rFonts w:eastAsiaTheme="minorHAnsi"/>
                <w:sz w:val="20"/>
                <w:szCs w:val="20"/>
              </w:rPr>
            </w:pPr>
            <w:r w:rsidRPr="001D1C56">
              <w:rPr>
                <w:rFonts w:eastAsiaTheme="minorHAnsi"/>
                <w:sz w:val="20"/>
                <w:szCs w:val="20"/>
              </w:rPr>
              <w:t>TESOL ELD Standards Alignment to LAS Links</w:t>
            </w:r>
          </w:p>
          <w:p w14:paraId="4BA4A225" w14:textId="77777777" w:rsidR="004B0E92" w:rsidRPr="0077197F" w:rsidRDefault="004B0E92" w:rsidP="00385738">
            <w:pPr>
              <w:rPr>
                <w:sz w:val="20"/>
                <w:szCs w:val="20"/>
              </w:rPr>
            </w:pPr>
            <w:r w:rsidRPr="001D1C56">
              <w:rPr>
                <w:rFonts w:eastAsiaTheme="minorHAnsi"/>
                <w:sz w:val="20"/>
                <w:szCs w:val="20"/>
              </w:rPr>
              <w:t>Assessment Forms C and D</w:t>
            </w:r>
          </w:p>
        </w:tc>
        <w:tc>
          <w:tcPr>
            <w:tcW w:w="5013" w:type="dxa"/>
            <w:shd w:val="clear" w:color="auto" w:fill="auto"/>
          </w:tcPr>
          <w:p w14:paraId="05ED3E63" w14:textId="77777777" w:rsidR="004B0E92" w:rsidRDefault="004B0E92" w:rsidP="00385738">
            <w:pPr>
              <w:rPr>
                <w:sz w:val="20"/>
                <w:szCs w:val="20"/>
              </w:rPr>
            </w:pPr>
            <w:r>
              <w:rPr>
                <w:sz w:val="20"/>
                <w:szCs w:val="20"/>
              </w:rPr>
              <w:t>Documentation provided does not appear to include evidence of the state officially adopting ELP achievement standards. Documents reference use of TESOL language standards, which are not achievement standards.</w:t>
            </w:r>
          </w:p>
          <w:p w14:paraId="797F0060" w14:textId="77777777" w:rsidR="004B0E92" w:rsidRDefault="004B0E92" w:rsidP="00385738">
            <w:pPr>
              <w:rPr>
                <w:sz w:val="20"/>
                <w:szCs w:val="20"/>
              </w:rPr>
            </w:pPr>
          </w:p>
          <w:p w14:paraId="183E6DB8" w14:textId="77777777" w:rsidR="004B0E92" w:rsidRPr="00696587" w:rsidRDefault="004B0E92" w:rsidP="00385738">
            <w:pPr>
              <w:rPr>
                <w:sz w:val="20"/>
                <w:szCs w:val="20"/>
              </w:rPr>
            </w:pPr>
            <w:r w:rsidRPr="00696587">
              <w:rPr>
                <w:sz w:val="20"/>
                <w:szCs w:val="20"/>
              </w:rPr>
              <w:t xml:space="preserve">There is no evidence that the state has formally adopted the </w:t>
            </w:r>
            <w:r>
              <w:rPr>
                <w:sz w:val="20"/>
                <w:szCs w:val="20"/>
              </w:rPr>
              <w:t xml:space="preserve">ELP assessment </w:t>
            </w:r>
            <w:r w:rsidRPr="00696587">
              <w:rPr>
                <w:sz w:val="20"/>
                <w:szCs w:val="20"/>
              </w:rPr>
              <w:t>achievement levels, either through legislation, policy, or state board of education action.</w:t>
            </w:r>
          </w:p>
          <w:p w14:paraId="2E03F5A6" w14:textId="77777777" w:rsidR="004B0E92" w:rsidRPr="00696587" w:rsidRDefault="004B0E92" w:rsidP="00385738">
            <w:pPr>
              <w:rPr>
                <w:sz w:val="20"/>
                <w:szCs w:val="20"/>
              </w:rPr>
            </w:pPr>
          </w:p>
          <w:p w14:paraId="68F3B7EB" w14:textId="77777777" w:rsidR="004B0E92" w:rsidRPr="0077197F" w:rsidRDefault="004B0E92" w:rsidP="00385738">
            <w:pPr>
              <w:rPr>
                <w:sz w:val="20"/>
                <w:szCs w:val="20"/>
              </w:rPr>
            </w:pPr>
            <w:r w:rsidRPr="00696587">
              <w:rPr>
                <w:sz w:val="20"/>
                <w:szCs w:val="20"/>
              </w:rPr>
              <w:t xml:space="preserve">On p. 19 of the MS English Learner Guidelines - Regulations, Funding Guidance, and Instructional Supports, reference is made to EL exit criteria adopted in SBE Rule on January 19, 2017. A web search of the </w:t>
            </w:r>
            <w:hyperlink r:id="rId29" w:history="1">
              <w:r w:rsidRPr="00696587">
                <w:rPr>
                  <w:color w:val="0000FF"/>
                  <w:sz w:val="20"/>
                  <w:szCs w:val="20"/>
                  <w:u w:val="single"/>
                </w:rPr>
                <w:t>agenda item</w:t>
              </w:r>
            </w:hyperlink>
            <w:r w:rsidRPr="00696587">
              <w:rPr>
                <w:sz w:val="20"/>
                <w:szCs w:val="20"/>
              </w:rPr>
              <w:t xml:space="preserve"> reveals that only exit criteria were addressed, and overall proficiency levels were not adopted at this meeting.  </w:t>
            </w:r>
          </w:p>
        </w:tc>
      </w:tr>
      <w:tr w:rsidR="004B0E92" w:rsidRPr="00532BBF" w14:paraId="3AD2529B" w14:textId="77777777" w:rsidTr="00385738">
        <w:tc>
          <w:tcPr>
            <w:tcW w:w="13410" w:type="dxa"/>
            <w:gridSpan w:val="3"/>
            <w:shd w:val="clear" w:color="auto" w:fill="auto"/>
          </w:tcPr>
          <w:p w14:paraId="022404A1" w14:textId="77777777" w:rsidR="004B0E92" w:rsidRPr="00532BBF" w:rsidRDefault="004B0E92" w:rsidP="00385738">
            <w:pPr>
              <w:pStyle w:val="Heading4"/>
            </w:pPr>
            <w:r>
              <w:t xml:space="preserve">Section 6.1 </w:t>
            </w:r>
            <w:r w:rsidRPr="00532BBF">
              <w:t>Summary Statement</w:t>
            </w:r>
          </w:p>
        </w:tc>
      </w:tr>
      <w:tr w:rsidR="004B0E92" w:rsidRPr="00532BBF" w14:paraId="7D042381" w14:textId="77777777" w:rsidTr="00385738">
        <w:tc>
          <w:tcPr>
            <w:tcW w:w="13410" w:type="dxa"/>
            <w:gridSpan w:val="3"/>
            <w:shd w:val="clear" w:color="auto" w:fill="auto"/>
          </w:tcPr>
          <w:p w14:paraId="31B7CE0B" w14:textId="77777777" w:rsidR="004B0E92" w:rsidRPr="00532BBF" w:rsidRDefault="004B0E92" w:rsidP="00385738">
            <w:pPr>
              <w:rPr>
                <w:sz w:val="20"/>
                <w:szCs w:val="20"/>
              </w:rPr>
            </w:pPr>
            <w:r w:rsidRPr="00532BBF">
              <w:rPr>
                <w:sz w:val="20"/>
                <w:szCs w:val="20"/>
              </w:rPr>
              <w:t>___ No additional evidence is required or</w:t>
            </w:r>
          </w:p>
          <w:p w14:paraId="73683C48" w14:textId="77777777" w:rsidR="004B0E92" w:rsidRPr="00532BBF" w:rsidRDefault="004B0E92" w:rsidP="00385738">
            <w:pPr>
              <w:rPr>
                <w:sz w:val="20"/>
                <w:szCs w:val="20"/>
              </w:rPr>
            </w:pPr>
          </w:p>
          <w:p w14:paraId="00DD9085" w14:textId="77777777" w:rsidR="004B0E92" w:rsidRPr="00532BBF" w:rsidRDefault="004B0E9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4EFDE341" w14:textId="77777777" w:rsidR="004B0E92" w:rsidRPr="00532BBF" w:rsidRDefault="004B0E92" w:rsidP="008D31CB">
            <w:pPr>
              <w:pStyle w:val="ListParagraph"/>
              <w:numPr>
                <w:ilvl w:val="0"/>
                <w:numId w:val="3"/>
              </w:numPr>
              <w:ind w:left="247" w:hanging="180"/>
              <w:rPr>
                <w:sz w:val="20"/>
                <w:szCs w:val="20"/>
              </w:rPr>
            </w:pPr>
            <w:r w:rsidRPr="00B94BDD">
              <w:rPr>
                <w:sz w:val="20"/>
                <w:szCs w:val="20"/>
              </w:rPr>
              <w:t>Evidence that the State has adopted ELP achievement standards that address the different proficiency levels of ELs</w:t>
            </w:r>
          </w:p>
        </w:tc>
      </w:tr>
    </w:tbl>
    <w:p w14:paraId="22D310F0" w14:textId="77777777" w:rsidR="004B0E92" w:rsidRDefault="004B0E92" w:rsidP="004B0E92">
      <w:pPr>
        <w:pStyle w:val="Heading6"/>
      </w:pPr>
    </w:p>
    <w:p w14:paraId="163D9172" w14:textId="77777777" w:rsidR="004B0E92" w:rsidRDefault="004B0E92" w:rsidP="004B0E92">
      <w:pPr>
        <w:pStyle w:val="Heading6"/>
      </w:pPr>
    </w:p>
    <w:p w14:paraId="5301761D" w14:textId="77777777" w:rsidR="004B0E92" w:rsidRPr="00177F64" w:rsidRDefault="004B0E92" w:rsidP="004B0E92"/>
    <w:p w14:paraId="7A1D1D1C" w14:textId="77777777" w:rsidR="004B0E92" w:rsidRDefault="004B0E92" w:rsidP="004B0E92">
      <w:pPr>
        <w:pStyle w:val="Heading2"/>
      </w:pPr>
      <w:r>
        <w:br w:type="page"/>
      </w:r>
      <w:bookmarkStart w:id="41" w:name="_Toc3354986"/>
      <w:r w:rsidRPr="009E6181">
        <w:t>Critical Element 6.</w:t>
      </w:r>
      <w:r>
        <w:t>2</w:t>
      </w:r>
      <w:r w:rsidRPr="009E6181">
        <w:t xml:space="preserve"> – </w:t>
      </w:r>
      <w:r>
        <w:t xml:space="preserve">ELP Achievement </w:t>
      </w:r>
      <w:r w:rsidRPr="009E6181">
        <w:t>Standard</w:t>
      </w:r>
      <w:r>
        <w:t>s S</w:t>
      </w:r>
      <w:r w:rsidRPr="009E6181">
        <w:t>etting</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267451F4"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9F2AE90"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E1F99A8"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D56CFF3"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159C7375" w14:textId="77777777" w:rsidTr="00385738">
        <w:tc>
          <w:tcPr>
            <w:tcW w:w="3618" w:type="dxa"/>
            <w:shd w:val="clear" w:color="auto" w:fill="auto"/>
          </w:tcPr>
          <w:p w14:paraId="5778CBB7" w14:textId="77777777" w:rsidR="004B0E92" w:rsidRPr="00B94BDD" w:rsidRDefault="004B0E92" w:rsidP="00385738">
            <w:pPr>
              <w:spacing w:before="80"/>
              <w:rPr>
                <w:sz w:val="20"/>
              </w:rPr>
            </w:pPr>
            <w:r w:rsidRPr="002313D0">
              <w:rPr>
                <w:sz w:val="20"/>
              </w:rPr>
              <w:t xml:space="preserve">The State used a technically sound method and process that involved </w:t>
            </w:r>
            <w:r w:rsidRPr="002313D0">
              <w:rPr>
                <w:sz w:val="20"/>
                <w:szCs w:val="20"/>
              </w:rPr>
              <w:t xml:space="preserve">panelists with appropriate experience and </w:t>
            </w:r>
            <w:r w:rsidRPr="00B94BDD">
              <w:rPr>
                <w:sz w:val="20"/>
                <w:szCs w:val="20"/>
              </w:rPr>
              <w:t>expertise</w:t>
            </w:r>
            <w:r w:rsidRPr="00B94BDD">
              <w:rPr>
                <w:sz w:val="20"/>
              </w:rPr>
              <w:t xml:space="preserve"> for setting:</w:t>
            </w:r>
          </w:p>
          <w:p w14:paraId="502C0FA9" w14:textId="77777777" w:rsidR="004B0E92" w:rsidRPr="00B94BDD" w:rsidRDefault="004B0E92" w:rsidP="008D31CB">
            <w:pPr>
              <w:pStyle w:val="ListParagraph"/>
              <w:numPr>
                <w:ilvl w:val="0"/>
                <w:numId w:val="23"/>
              </w:numPr>
              <w:ind w:left="360"/>
              <w:rPr>
                <w:sz w:val="20"/>
                <w:szCs w:val="20"/>
              </w:rPr>
            </w:pPr>
            <w:r w:rsidRPr="00B94BDD">
              <w:rPr>
                <w:b/>
                <w:i/>
                <w:sz w:val="20"/>
                <w:szCs w:val="20"/>
              </w:rPr>
              <w:t>ELP achievement standards and, as applicable, alternate ELP achievement standards</w:t>
            </w:r>
            <w:r w:rsidRPr="00B94BDD">
              <w:rPr>
                <w:sz w:val="20"/>
                <w:szCs w:val="20"/>
              </w:rPr>
              <w:t>, such that:</w:t>
            </w:r>
            <w:r w:rsidRPr="00B94BDD">
              <w:rPr>
                <w:b/>
                <w:i/>
                <w:sz w:val="20"/>
                <w:szCs w:val="20"/>
              </w:rPr>
              <w:t xml:space="preserve"> </w:t>
            </w:r>
          </w:p>
          <w:p w14:paraId="45619A9D" w14:textId="77777777" w:rsidR="004B0E92" w:rsidRPr="00B94BDD" w:rsidRDefault="004B0E92" w:rsidP="008D31CB">
            <w:pPr>
              <w:pStyle w:val="ListParagraph"/>
              <w:numPr>
                <w:ilvl w:val="1"/>
                <w:numId w:val="23"/>
              </w:numPr>
              <w:ind w:left="720"/>
              <w:rPr>
                <w:sz w:val="20"/>
                <w:szCs w:val="20"/>
              </w:rPr>
            </w:pPr>
            <w:r w:rsidRPr="00B94BDD">
              <w:rPr>
                <w:sz w:val="20"/>
                <w:szCs w:val="20"/>
              </w:rPr>
              <w:t>Cut scores are developed for every grade/grade band, content domain/language domain, and/or composite for which proficiency-level scores are reported.</w:t>
            </w:r>
          </w:p>
          <w:p w14:paraId="4C75592B" w14:textId="77777777" w:rsidR="004B0E92" w:rsidRPr="0077197F" w:rsidRDefault="004B0E92" w:rsidP="00385738">
            <w:pPr>
              <w:pStyle w:val="ListParagraph"/>
              <w:ind w:left="360"/>
              <w:rPr>
                <w:szCs w:val="20"/>
              </w:rPr>
            </w:pPr>
          </w:p>
        </w:tc>
        <w:tc>
          <w:tcPr>
            <w:tcW w:w="4779" w:type="dxa"/>
            <w:shd w:val="clear" w:color="auto" w:fill="auto"/>
          </w:tcPr>
          <w:p w14:paraId="4CEAA22F"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LAS Links Standard Setting Technical Report</w:t>
            </w:r>
          </w:p>
          <w:p w14:paraId="605CBD90" w14:textId="77777777" w:rsidR="004B0E92" w:rsidRDefault="004B0E92" w:rsidP="00385738">
            <w:pPr>
              <w:autoSpaceDE w:val="0"/>
              <w:autoSpaceDN w:val="0"/>
              <w:adjustRightInd w:val="0"/>
              <w:rPr>
                <w:rFonts w:eastAsiaTheme="minorHAnsi"/>
                <w:sz w:val="20"/>
                <w:szCs w:val="20"/>
              </w:rPr>
            </w:pPr>
          </w:p>
          <w:p w14:paraId="60E12B01" w14:textId="77777777" w:rsidR="004B0E92" w:rsidRPr="005671DB" w:rsidRDefault="004B0E92" w:rsidP="00385738">
            <w:pPr>
              <w:autoSpaceDE w:val="0"/>
              <w:autoSpaceDN w:val="0"/>
              <w:adjustRightInd w:val="0"/>
              <w:rPr>
                <w:rFonts w:eastAsiaTheme="minorHAnsi"/>
                <w:sz w:val="20"/>
                <w:szCs w:val="20"/>
              </w:rPr>
            </w:pPr>
            <w:r w:rsidRPr="005671DB">
              <w:rPr>
                <w:rFonts w:eastAsiaTheme="minorHAnsi"/>
                <w:sz w:val="20"/>
                <w:szCs w:val="20"/>
              </w:rPr>
              <w:t xml:space="preserve"> LAS Links Approach to Alignment and Item</w:t>
            </w:r>
          </w:p>
          <w:p w14:paraId="393BC292" w14:textId="77777777" w:rsidR="004B0E92" w:rsidRDefault="004B0E92" w:rsidP="00385738">
            <w:pPr>
              <w:autoSpaceDE w:val="0"/>
              <w:autoSpaceDN w:val="0"/>
              <w:adjustRightInd w:val="0"/>
              <w:rPr>
                <w:rFonts w:eastAsiaTheme="minorHAnsi"/>
                <w:sz w:val="20"/>
                <w:szCs w:val="20"/>
              </w:rPr>
            </w:pPr>
            <w:r w:rsidRPr="005671DB">
              <w:rPr>
                <w:rFonts w:eastAsiaTheme="minorHAnsi"/>
                <w:sz w:val="20"/>
                <w:szCs w:val="20"/>
              </w:rPr>
              <w:t xml:space="preserve">Development </w:t>
            </w:r>
          </w:p>
          <w:p w14:paraId="44A42285" w14:textId="77777777" w:rsidR="004B0E92" w:rsidRDefault="004B0E92" w:rsidP="00385738">
            <w:pPr>
              <w:autoSpaceDE w:val="0"/>
              <w:autoSpaceDN w:val="0"/>
              <w:adjustRightInd w:val="0"/>
              <w:rPr>
                <w:rFonts w:eastAsiaTheme="minorHAnsi"/>
                <w:sz w:val="20"/>
                <w:szCs w:val="20"/>
              </w:rPr>
            </w:pPr>
          </w:p>
          <w:p w14:paraId="67CD2D18"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DRC LAS Links® Second Edition, Forms C and D</w:t>
            </w:r>
          </w:p>
          <w:p w14:paraId="4547D752"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Technical Manual, 2018, (Differential Item</w:t>
            </w:r>
          </w:p>
          <w:p w14:paraId="701C4A50" w14:textId="77777777" w:rsidR="004B0E92" w:rsidRPr="005671DB" w:rsidRDefault="004B0E92" w:rsidP="00385738">
            <w:pPr>
              <w:pStyle w:val="ListParagraph"/>
              <w:ind w:left="0"/>
              <w:rPr>
                <w:rFonts w:eastAsiaTheme="minorHAnsi"/>
                <w:sz w:val="20"/>
                <w:szCs w:val="20"/>
              </w:rPr>
            </w:pPr>
            <w:r>
              <w:rPr>
                <w:rFonts w:eastAsiaTheme="minorHAnsi"/>
                <w:sz w:val="20"/>
                <w:szCs w:val="20"/>
              </w:rPr>
              <w:t>Functioning Analysis for LAS Links, pgs. 93-96)</w:t>
            </w:r>
          </w:p>
        </w:tc>
        <w:tc>
          <w:tcPr>
            <w:tcW w:w="5013" w:type="dxa"/>
            <w:shd w:val="clear" w:color="auto" w:fill="auto"/>
          </w:tcPr>
          <w:p w14:paraId="085BE3FD" w14:textId="77777777" w:rsidR="004B0E92" w:rsidRDefault="004B0E92" w:rsidP="00385738">
            <w:pPr>
              <w:pStyle w:val="ListParagraph"/>
              <w:ind w:left="0"/>
              <w:rPr>
                <w:sz w:val="20"/>
                <w:szCs w:val="20"/>
              </w:rPr>
            </w:pPr>
            <w:r w:rsidRPr="00BB0247">
              <w:rPr>
                <w:sz w:val="20"/>
              </w:rPr>
              <w:t>Mississippi relies on the</w:t>
            </w:r>
            <w:r>
              <w:rPr>
                <w:sz w:val="20"/>
              </w:rPr>
              <w:t xml:space="preserve"> achievement level </w:t>
            </w:r>
            <w:r w:rsidRPr="00BB0247">
              <w:rPr>
                <w:sz w:val="20"/>
              </w:rPr>
              <w:t>cuts set by the vendor for LAS Links in 2005</w:t>
            </w:r>
            <w:r>
              <w:rPr>
                <w:sz w:val="20"/>
              </w:rPr>
              <w:t xml:space="preserve">. </w:t>
            </w:r>
            <w:r w:rsidRPr="00BB0247">
              <w:rPr>
                <w:sz w:val="20"/>
              </w:rPr>
              <w:t>A modified bookmark approach was used to set the original standards</w:t>
            </w:r>
            <w:r>
              <w:rPr>
                <w:sz w:val="20"/>
              </w:rPr>
              <w:t xml:space="preserve">, with panels </w:t>
            </w:r>
            <w:r w:rsidRPr="00BB0247">
              <w:rPr>
                <w:sz w:val="20"/>
                <w:szCs w:val="20"/>
              </w:rPr>
              <w:t xml:space="preserve"> only</w:t>
            </w:r>
            <w:r>
              <w:rPr>
                <w:sz w:val="20"/>
                <w:szCs w:val="20"/>
              </w:rPr>
              <w:t xml:space="preserve"> setting cuts</w:t>
            </w:r>
            <w:r w:rsidRPr="00BB0247">
              <w:rPr>
                <w:sz w:val="20"/>
                <w:szCs w:val="20"/>
              </w:rPr>
              <w:t xml:space="preserve"> in Grades </w:t>
            </w:r>
            <w:r>
              <w:rPr>
                <w:sz w:val="20"/>
                <w:szCs w:val="20"/>
              </w:rPr>
              <w:t xml:space="preserve">K, </w:t>
            </w:r>
            <w:r w:rsidRPr="00BB0247">
              <w:rPr>
                <w:sz w:val="20"/>
                <w:szCs w:val="20"/>
              </w:rPr>
              <w:t>2, 4, 7, and 11</w:t>
            </w:r>
            <w:r>
              <w:rPr>
                <w:sz w:val="20"/>
                <w:szCs w:val="20"/>
              </w:rPr>
              <w:t xml:space="preserve">. </w:t>
            </w:r>
            <w:r>
              <w:rPr>
                <w:sz w:val="20"/>
              </w:rPr>
              <w:t>N</w:t>
            </w:r>
            <w:r>
              <w:rPr>
                <w:sz w:val="20"/>
                <w:szCs w:val="20"/>
              </w:rPr>
              <w:t xml:space="preserve">o rationale for use of this </w:t>
            </w:r>
            <w:r w:rsidRPr="00696587">
              <w:rPr>
                <w:sz w:val="20"/>
                <w:szCs w:val="20"/>
              </w:rPr>
              <w:t xml:space="preserve">method </w:t>
            </w:r>
            <w:r>
              <w:rPr>
                <w:sz w:val="20"/>
                <w:szCs w:val="20"/>
              </w:rPr>
              <w:t xml:space="preserve">could be found, including how the cuts were applied across all grades/grade bands. </w:t>
            </w:r>
          </w:p>
          <w:p w14:paraId="48461D61" w14:textId="77777777" w:rsidR="004B0E92" w:rsidRDefault="004B0E92" w:rsidP="00385738">
            <w:pPr>
              <w:pStyle w:val="ListParagraph"/>
              <w:ind w:left="0"/>
              <w:rPr>
                <w:sz w:val="20"/>
                <w:szCs w:val="20"/>
              </w:rPr>
            </w:pPr>
          </w:p>
          <w:p w14:paraId="44E1DC1E" w14:textId="77777777" w:rsidR="004B0E92" w:rsidRPr="00BB0247" w:rsidRDefault="004B0E92" w:rsidP="00385738">
            <w:pPr>
              <w:pStyle w:val="ListParagraph"/>
              <w:ind w:left="0"/>
              <w:rPr>
                <w:sz w:val="20"/>
              </w:rPr>
            </w:pPr>
            <w:r>
              <w:rPr>
                <w:sz w:val="20"/>
              </w:rPr>
              <w:t>LAS Links 2</w:t>
            </w:r>
            <w:r w:rsidRPr="00BB0247">
              <w:rPr>
                <w:sz w:val="20"/>
                <w:vertAlign w:val="superscript"/>
              </w:rPr>
              <w:t>nd</w:t>
            </w:r>
            <w:r>
              <w:rPr>
                <w:sz w:val="20"/>
              </w:rPr>
              <w:t xml:space="preserve"> edition achievement standards </w:t>
            </w:r>
            <w:r w:rsidRPr="00BB0247">
              <w:rPr>
                <w:sz w:val="20"/>
              </w:rPr>
              <w:t>were based on a 2-phase cut score review process in 2013</w:t>
            </w:r>
            <w:r>
              <w:rPr>
                <w:sz w:val="20"/>
              </w:rPr>
              <w:t>, with no rationale provided for the methodology used</w:t>
            </w:r>
            <w:r w:rsidRPr="00BB0247">
              <w:rPr>
                <w:sz w:val="20"/>
              </w:rPr>
              <w:t>. Panelists reviewed cuts in all four domains</w:t>
            </w:r>
            <w:r>
              <w:rPr>
                <w:sz w:val="20"/>
              </w:rPr>
              <w:t xml:space="preserve">. </w:t>
            </w:r>
            <w:r w:rsidRPr="00BB0247">
              <w:rPr>
                <w:sz w:val="20"/>
              </w:rPr>
              <w:t>CTB elected to treat panel recommendations as equivalent to the original cuts.</w:t>
            </w:r>
          </w:p>
          <w:p w14:paraId="27C6487C" w14:textId="77777777" w:rsidR="004B0E92" w:rsidRDefault="004B0E92" w:rsidP="00385738">
            <w:pPr>
              <w:pStyle w:val="ListParagraph"/>
              <w:ind w:left="0"/>
              <w:rPr>
                <w:color w:val="0070C0"/>
                <w:sz w:val="20"/>
              </w:rPr>
            </w:pPr>
          </w:p>
          <w:p w14:paraId="7CD791DD" w14:textId="77777777" w:rsidR="004B0E92" w:rsidRPr="00696587" w:rsidRDefault="004B0E92" w:rsidP="00385738">
            <w:pPr>
              <w:rPr>
                <w:sz w:val="20"/>
                <w:szCs w:val="20"/>
              </w:rPr>
            </w:pPr>
            <w:r>
              <w:rPr>
                <w:sz w:val="20"/>
                <w:szCs w:val="20"/>
              </w:rPr>
              <w:t xml:space="preserve">Peers could find </w:t>
            </w:r>
            <w:r w:rsidRPr="00696587">
              <w:rPr>
                <w:sz w:val="20"/>
                <w:szCs w:val="20"/>
              </w:rPr>
              <w:t xml:space="preserve">no information as to how the </w:t>
            </w:r>
            <w:r>
              <w:rPr>
                <w:sz w:val="20"/>
                <w:szCs w:val="20"/>
              </w:rPr>
              <w:t xml:space="preserve">achievement level cuts were </w:t>
            </w:r>
            <w:r w:rsidRPr="00696587">
              <w:rPr>
                <w:sz w:val="20"/>
                <w:szCs w:val="20"/>
              </w:rPr>
              <w:t>applied across all grades</w:t>
            </w:r>
            <w:r>
              <w:rPr>
                <w:sz w:val="20"/>
                <w:szCs w:val="20"/>
              </w:rPr>
              <w:t>/grade bands</w:t>
            </w:r>
            <w:r w:rsidRPr="00696587">
              <w:rPr>
                <w:sz w:val="20"/>
                <w:szCs w:val="20"/>
              </w:rPr>
              <w:t xml:space="preserve">. </w:t>
            </w:r>
            <w:r>
              <w:rPr>
                <w:sz w:val="20"/>
                <w:szCs w:val="20"/>
              </w:rPr>
              <w:t xml:space="preserve">As noted in CE 2.1 and 4.4 there appears to be misalignment of standards between LAS Links and the TESOL standards in Grades K-3. This raises questions regarding the appropriateness of the achievement level standards within and across these grades. </w:t>
            </w:r>
          </w:p>
          <w:p w14:paraId="7503BCCC" w14:textId="77777777" w:rsidR="004B0E92" w:rsidRPr="00696587" w:rsidRDefault="004B0E92" w:rsidP="00385738">
            <w:pPr>
              <w:rPr>
                <w:sz w:val="20"/>
                <w:szCs w:val="20"/>
              </w:rPr>
            </w:pPr>
          </w:p>
          <w:p w14:paraId="2B6EE582" w14:textId="77777777" w:rsidR="004B0E92" w:rsidRPr="00696587" w:rsidRDefault="004B0E92" w:rsidP="00385738">
            <w:pPr>
              <w:rPr>
                <w:sz w:val="20"/>
                <w:szCs w:val="20"/>
              </w:rPr>
            </w:pPr>
            <w:r w:rsidRPr="00696587">
              <w:rPr>
                <w:sz w:val="20"/>
                <w:szCs w:val="20"/>
              </w:rPr>
              <w:t>The number of standard setting participants was given, none of whom were from MS, but no descriptions of the group members’ qualifications or expertise were provided. On p. 61 of the Technical Manual,</w:t>
            </w:r>
            <w:r>
              <w:rPr>
                <w:sz w:val="20"/>
                <w:szCs w:val="20"/>
              </w:rPr>
              <w:t xml:space="preserve"> they are only described as a “</w:t>
            </w:r>
            <w:r w:rsidRPr="00696587">
              <w:rPr>
                <w:sz w:val="20"/>
                <w:szCs w:val="20"/>
              </w:rPr>
              <w:t>national committee of ELL educators”</w:t>
            </w:r>
            <w:r>
              <w:rPr>
                <w:sz w:val="20"/>
                <w:szCs w:val="20"/>
              </w:rPr>
              <w:t>.</w:t>
            </w:r>
          </w:p>
          <w:p w14:paraId="58676865" w14:textId="77777777" w:rsidR="004B0E92" w:rsidRPr="00696587" w:rsidRDefault="004B0E92" w:rsidP="00385738">
            <w:pPr>
              <w:rPr>
                <w:sz w:val="20"/>
                <w:szCs w:val="20"/>
              </w:rPr>
            </w:pPr>
          </w:p>
          <w:p w14:paraId="121CBF10" w14:textId="77777777" w:rsidR="004B0E92" w:rsidRPr="00696587" w:rsidRDefault="004B0E92" w:rsidP="00385738">
            <w:pPr>
              <w:rPr>
                <w:sz w:val="20"/>
                <w:szCs w:val="20"/>
              </w:rPr>
            </w:pPr>
            <w:r w:rsidRPr="00696587">
              <w:rPr>
                <w:sz w:val="20"/>
                <w:szCs w:val="20"/>
              </w:rPr>
              <w:t xml:space="preserve">Sections A and B </w:t>
            </w:r>
            <w:r>
              <w:rPr>
                <w:sz w:val="20"/>
                <w:szCs w:val="20"/>
              </w:rPr>
              <w:t>(</w:t>
            </w:r>
            <w:r>
              <w:rPr>
                <w:rFonts w:eastAsiaTheme="minorHAnsi"/>
                <w:sz w:val="20"/>
                <w:szCs w:val="20"/>
              </w:rPr>
              <w:t>Executive summary and Workshop Overview) of the standard setting document are blank. I</w:t>
            </w:r>
            <w:r>
              <w:rPr>
                <w:sz w:val="20"/>
                <w:szCs w:val="20"/>
              </w:rPr>
              <w:t xml:space="preserve">mportant context and </w:t>
            </w:r>
            <w:r w:rsidRPr="00696587">
              <w:rPr>
                <w:sz w:val="20"/>
                <w:szCs w:val="20"/>
              </w:rPr>
              <w:t>information relevant to this re</w:t>
            </w:r>
            <w:r>
              <w:rPr>
                <w:sz w:val="20"/>
                <w:szCs w:val="20"/>
              </w:rPr>
              <w:t>view may have therefore been lost/deleted in the submission.</w:t>
            </w:r>
            <w:r w:rsidRPr="00696587">
              <w:rPr>
                <w:sz w:val="20"/>
                <w:szCs w:val="20"/>
              </w:rPr>
              <w:t xml:space="preserve"> </w:t>
            </w:r>
          </w:p>
          <w:p w14:paraId="73DA9084" w14:textId="77777777" w:rsidR="004B0E92" w:rsidRPr="00696587" w:rsidRDefault="004B0E92" w:rsidP="00385738">
            <w:pPr>
              <w:rPr>
                <w:sz w:val="20"/>
                <w:szCs w:val="20"/>
              </w:rPr>
            </w:pPr>
          </w:p>
          <w:p w14:paraId="22E711A4" w14:textId="77777777" w:rsidR="004B0E92" w:rsidRPr="005671DB" w:rsidRDefault="004B0E92" w:rsidP="00385738">
            <w:pPr>
              <w:rPr>
                <w:rFonts w:eastAsiaTheme="minorHAnsi"/>
                <w:sz w:val="20"/>
                <w:szCs w:val="20"/>
              </w:rPr>
            </w:pPr>
            <w:r>
              <w:rPr>
                <w:sz w:val="20"/>
                <w:szCs w:val="20"/>
              </w:rPr>
              <w:t>Peers could not find a plan or evidence for validating</w:t>
            </w:r>
            <w:r w:rsidRPr="00696587">
              <w:rPr>
                <w:sz w:val="20"/>
                <w:szCs w:val="20"/>
              </w:rPr>
              <w:t xml:space="preserve"> the exit criteria</w:t>
            </w:r>
            <w:r>
              <w:rPr>
                <w:sz w:val="20"/>
                <w:szCs w:val="20"/>
              </w:rPr>
              <w:t xml:space="preserve">, e.g., </w:t>
            </w:r>
            <w:r w:rsidRPr="00696587">
              <w:rPr>
                <w:sz w:val="20"/>
                <w:szCs w:val="20"/>
              </w:rPr>
              <w:t>by comparison</w:t>
            </w:r>
            <w:r>
              <w:rPr>
                <w:sz w:val="20"/>
                <w:szCs w:val="20"/>
              </w:rPr>
              <w:t xml:space="preserve"> of performance on the ELP assessment with performance</w:t>
            </w:r>
            <w:r w:rsidRPr="00696587">
              <w:rPr>
                <w:sz w:val="20"/>
                <w:szCs w:val="20"/>
              </w:rPr>
              <w:t xml:space="preserve"> on </w:t>
            </w:r>
            <w:r>
              <w:rPr>
                <w:sz w:val="20"/>
                <w:szCs w:val="20"/>
              </w:rPr>
              <w:t xml:space="preserve">MS statewide </w:t>
            </w:r>
            <w:r w:rsidRPr="00696587">
              <w:rPr>
                <w:sz w:val="20"/>
                <w:szCs w:val="20"/>
              </w:rPr>
              <w:t xml:space="preserve">academic assessments. </w:t>
            </w:r>
          </w:p>
        </w:tc>
      </w:tr>
      <w:tr w:rsidR="004B0E92" w:rsidRPr="00532BBF" w14:paraId="3998B2BE" w14:textId="77777777" w:rsidTr="00385738">
        <w:tc>
          <w:tcPr>
            <w:tcW w:w="13410" w:type="dxa"/>
            <w:gridSpan w:val="3"/>
            <w:shd w:val="clear" w:color="auto" w:fill="auto"/>
          </w:tcPr>
          <w:p w14:paraId="2E060FCB" w14:textId="77777777" w:rsidR="004B0E92" w:rsidRPr="00532BBF" w:rsidRDefault="004B0E92" w:rsidP="00385738">
            <w:pPr>
              <w:pStyle w:val="Heading4"/>
            </w:pPr>
            <w:r>
              <w:t xml:space="preserve">Section 6.2 </w:t>
            </w:r>
            <w:r w:rsidRPr="00532BBF">
              <w:t>Summary Statement</w:t>
            </w:r>
          </w:p>
        </w:tc>
      </w:tr>
      <w:tr w:rsidR="004B0E92" w:rsidRPr="00532BBF" w14:paraId="14ED6111" w14:textId="77777777" w:rsidTr="00385738">
        <w:tc>
          <w:tcPr>
            <w:tcW w:w="13410" w:type="dxa"/>
            <w:gridSpan w:val="3"/>
            <w:shd w:val="clear" w:color="auto" w:fill="auto"/>
          </w:tcPr>
          <w:p w14:paraId="320DEE41" w14:textId="77777777" w:rsidR="004B0E92" w:rsidRPr="00532BBF" w:rsidRDefault="004B0E92" w:rsidP="00385738">
            <w:pPr>
              <w:rPr>
                <w:sz w:val="20"/>
                <w:szCs w:val="20"/>
              </w:rPr>
            </w:pPr>
            <w:r w:rsidRPr="00532BBF">
              <w:rPr>
                <w:sz w:val="20"/>
                <w:szCs w:val="20"/>
              </w:rPr>
              <w:t>___ No additional evidence is required or</w:t>
            </w:r>
          </w:p>
          <w:p w14:paraId="5B79F52D" w14:textId="77777777" w:rsidR="004B0E92" w:rsidRPr="00532BBF" w:rsidRDefault="004B0E92" w:rsidP="00385738">
            <w:pPr>
              <w:rPr>
                <w:sz w:val="20"/>
                <w:szCs w:val="20"/>
              </w:rPr>
            </w:pPr>
          </w:p>
          <w:p w14:paraId="70BF96B6" w14:textId="77777777" w:rsidR="004B0E92" w:rsidRPr="00532BBF" w:rsidRDefault="004B0E92" w:rsidP="00385738">
            <w:pPr>
              <w:rPr>
                <w:sz w:val="20"/>
                <w:szCs w:val="20"/>
              </w:rPr>
            </w:pPr>
            <w:r>
              <w:rPr>
                <w:sz w:val="20"/>
                <w:szCs w:val="20"/>
              </w:rPr>
              <w:t>_X</w:t>
            </w:r>
            <w:r w:rsidRPr="00532BBF">
              <w:rPr>
                <w:sz w:val="20"/>
                <w:szCs w:val="20"/>
              </w:rPr>
              <w:t>_ The following additional evidence is needed/provide brief rationale:</w:t>
            </w:r>
          </w:p>
          <w:p w14:paraId="0105BC62" w14:textId="77777777" w:rsidR="004B0E92" w:rsidRDefault="004B0E92" w:rsidP="008D31CB">
            <w:pPr>
              <w:pStyle w:val="ListParagraph"/>
              <w:numPr>
                <w:ilvl w:val="0"/>
                <w:numId w:val="23"/>
              </w:numPr>
              <w:spacing w:before="80"/>
              <w:rPr>
                <w:sz w:val="20"/>
              </w:rPr>
            </w:pPr>
            <w:r w:rsidRPr="00F84981">
              <w:rPr>
                <w:sz w:val="20"/>
                <w:szCs w:val="20"/>
              </w:rPr>
              <w:t xml:space="preserve">Evidence that the State </w:t>
            </w:r>
            <w:r w:rsidRPr="00F84981">
              <w:rPr>
                <w:sz w:val="20"/>
              </w:rPr>
              <w:t xml:space="preserve">used a technically sound method and process that involved </w:t>
            </w:r>
            <w:r w:rsidRPr="00F84981">
              <w:rPr>
                <w:sz w:val="20"/>
                <w:szCs w:val="20"/>
              </w:rPr>
              <w:t>panelists with appropriate experience and expertise</w:t>
            </w:r>
            <w:r>
              <w:rPr>
                <w:sz w:val="20"/>
              </w:rPr>
              <w:t xml:space="preserve"> for setting;</w:t>
            </w:r>
          </w:p>
          <w:p w14:paraId="54189D3E" w14:textId="77777777" w:rsidR="004B0E92" w:rsidRDefault="004B0E92" w:rsidP="008D31CB">
            <w:pPr>
              <w:pStyle w:val="ListParagraph"/>
              <w:numPr>
                <w:ilvl w:val="0"/>
                <w:numId w:val="3"/>
              </w:numPr>
              <w:spacing w:before="80"/>
              <w:ind w:left="720"/>
              <w:rPr>
                <w:sz w:val="20"/>
                <w:szCs w:val="20"/>
              </w:rPr>
            </w:pPr>
            <w:r w:rsidRPr="00F84981">
              <w:rPr>
                <w:sz w:val="20"/>
              </w:rPr>
              <w:t xml:space="preserve">Evidence that </w:t>
            </w:r>
            <w:r w:rsidRPr="00F84981">
              <w:rPr>
                <w:sz w:val="20"/>
                <w:szCs w:val="20"/>
              </w:rPr>
              <w:t xml:space="preserve">cut scores are developed for every grade/grade band, </w:t>
            </w:r>
            <w:r>
              <w:rPr>
                <w:sz w:val="20"/>
                <w:szCs w:val="20"/>
              </w:rPr>
              <w:t xml:space="preserve">and </w:t>
            </w:r>
            <w:r w:rsidRPr="00F84981">
              <w:rPr>
                <w:sz w:val="20"/>
                <w:szCs w:val="20"/>
              </w:rPr>
              <w:t>composite for which proficiency-level scores are reported</w:t>
            </w:r>
            <w:r>
              <w:rPr>
                <w:sz w:val="20"/>
                <w:szCs w:val="20"/>
              </w:rPr>
              <w:t>;</w:t>
            </w:r>
          </w:p>
          <w:p w14:paraId="4F5542B8" w14:textId="77777777" w:rsidR="004B0E92" w:rsidRPr="00532BBF" w:rsidRDefault="004B0E92" w:rsidP="008D31CB">
            <w:pPr>
              <w:pStyle w:val="ListParagraph"/>
              <w:numPr>
                <w:ilvl w:val="0"/>
                <w:numId w:val="3"/>
              </w:numPr>
              <w:spacing w:before="80"/>
              <w:ind w:left="720"/>
              <w:rPr>
                <w:sz w:val="20"/>
                <w:szCs w:val="20"/>
              </w:rPr>
            </w:pPr>
            <w:r>
              <w:rPr>
                <w:sz w:val="20"/>
                <w:szCs w:val="20"/>
              </w:rPr>
              <w:t>Evidence for validating</w:t>
            </w:r>
            <w:r w:rsidRPr="00696587">
              <w:rPr>
                <w:sz w:val="20"/>
                <w:szCs w:val="20"/>
              </w:rPr>
              <w:t xml:space="preserve"> the exit criteria by comparison with achi</w:t>
            </w:r>
            <w:r>
              <w:rPr>
                <w:sz w:val="20"/>
                <w:szCs w:val="20"/>
              </w:rPr>
              <w:t>evement on academic assessments</w:t>
            </w:r>
          </w:p>
        </w:tc>
      </w:tr>
    </w:tbl>
    <w:p w14:paraId="71B182F1" w14:textId="77777777" w:rsidR="004B0E92" w:rsidRDefault="004B0E92" w:rsidP="004B0E92"/>
    <w:p w14:paraId="41F9597A" w14:textId="77777777" w:rsidR="004B0E92" w:rsidRDefault="004B0E92" w:rsidP="004B0E92">
      <w:pPr>
        <w:pStyle w:val="Heading2"/>
      </w:pPr>
      <w:r>
        <w:br w:type="page"/>
      </w:r>
      <w:bookmarkStart w:id="42" w:name="_Toc3354987"/>
      <w:r>
        <w:t>Critical Element 6.3</w:t>
      </w:r>
      <w:r w:rsidRPr="0054349C">
        <w:t xml:space="preserve"> –Aligned </w:t>
      </w:r>
      <w:r>
        <w:t>ELP</w:t>
      </w:r>
      <w:r w:rsidRPr="0054349C">
        <w:t xml:space="preserve"> Achievement Standards</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5EDF9428"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5EA75F7"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EBC33A2"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515C2D0" w14:textId="77777777" w:rsidR="004B0E92" w:rsidRPr="005809BE" w:rsidRDefault="004B0E92" w:rsidP="00385738">
            <w:pPr>
              <w:rPr>
                <w:b/>
                <w:sz w:val="20"/>
              </w:rPr>
            </w:pPr>
            <w:r w:rsidRPr="005809BE">
              <w:rPr>
                <w:b/>
                <w:sz w:val="20"/>
              </w:rPr>
              <w:t xml:space="preserve">Comments/Notes/Questions/Suggestions Regarding State Documentation or Evidence </w:t>
            </w:r>
          </w:p>
        </w:tc>
      </w:tr>
      <w:tr w:rsidR="004B0E92" w14:paraId="0E4876B1" w14:textId="77777777" w:rsidTr="00385738">
        <w:tc>
          <w:tcPr>
            <w:tcW w:w="3618" w:type="dxa"/>
            <w:shd w:val="clear" w:color="auto" w:fill="auto"/>
          </w:tcPr>
          <w:p w14:paraId="4243A044" w14:textId="77777777" w:rsidR="004B0E92" w:rsidRPr="0081751B" w:rsidRDefault="004B0E92" w:rsidP="00385738">
            <w:pPr>
              <w:rPr>
                <w:b/>
                <w:sz w:val="20"/>
                <w:szCs w:val="20"/>
              </w:rPr>
            </w:pPr>
            <w:r w:rsidRPr="0081751B">
              <w:rPr>
                <w:b/>
                <w:i/>
                <w:sz w:val="20"/>
                <w:szCs w:val="20"/>
              </w:rPr>
              <w:t>For ELP achievement standards</w:t>
            </w:r>
            <w:r w:rsidRPr="0081751B">
              <w:rPr>
                <w:b/>
                <w:sz w:val="20"/>
                <w:szCs w:val="20"/>
              </w:rPr>
              <w:t xml:space="preserve">: </w:t>
            </w:r>
          </w:p>
          <w:p w14:paraId="37683376" w14:textId="77777777" w:rsidR="004B0E92" w:rsidRPr="002313D0" w:rsidRDefault="004B0E92" w:rsidP="00385738">
            <w:pPr>
              <w:rPr>
                <w:sz w:val="20"/>
                <w:szCs w:val="20"/>
              </w:rPr>
            </w:pPr>
            <w:r w:rsidRPr="0081751B">
              <w:rPr>
                <w:sz w:val="20"/>
                <w:szCs w:val="20"/>
              </w:rPr>
              <w:t>The State has ensured that ELP assessment results are expressed in terms that are clearly aligned with the State’s ELP standards, and its ELP performance-level descriptors.</w:t>
            </w:r>
          </w:p>
          <w:p w14:paraId="338AF8C7" w14:textId="77777777" w:rsidR="004B0E92" w:rsidRPr="002313D0" w:rsidRDefault="004B0E92" w:rsidP="00385738">
            <w:pPr>
              <w:rPr>
                <w:sz w:val="20"/>
                <w:szCs w:val="20"/>
              </w:rPr>
            </w:pPr>
          </w:p>
          <w:p w14:paraId="7576CBFF" w14:textId="77777777" w:rsidR="004B0E92" w:rsidRPr="002313D0" w:rsidRDefault="004B0E92" w:rsidP="00385738">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697CF071" w14:textId="77777777" w:rsidR="004B0E92" w:rsidRPr="0077197F" w:rsidRDefault="004B0E92" w:rsidP="00385738">
            <w:pPr>
              <w:rPr>
                <w:sz w:val="20"/>
                <w:szCs w:val="20"/>
              </w:rPr>
            </w:pPr>
          </w:p>
        </w:tc>
        <w:tc>
          <w:tcPr>
            <w:tcW w:w="4779" w:type="dxa"/>
            <w:shd w:val="clear" w:color="auto" w:fill="auto"/>
          </w:tcPr>
          <w:p w14:paraId="79211429"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LAS Links Standard Setting Technical Report</w:t>
            </w:r>
          </w:p>
          <w:p w14:paraId="050F656E" w14:textId="77777777" w:rsidR="004B0E92" w:rsidRDefault="004B0E92" w:rsidP="00385738">
            <w:pPr>
              <w:autoSpaceDE w:val="0"/>
              <w:autoSpaceDN w:val="0"/>
              <w:adjustRightInd w:val="0"/>
              <w:rPr>
                <w:rFonts w:eastAsiaTheme="minorHAnsi"/>
                <w:sz w:val="20"/>
                <w:szCs w:val="20"/>
              </w:rPr>
            </w:pPr>
          </w:p>
          <w:p w14:paraId="3AB2DC3E"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LAS Links Approach to Alignment and Item</w:t>
            </w:r>
          </w:p>
          <w:p w14:paraId="7AB80199"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Development</w:t>
            </w:r>
          </w:p>
          <w:p w14:paraId="00224AF0" w14:textId="77777777" w:rsidR="004B0E92" w:rsidRDefault="004B0E92" w:rsidP="00385738">
            <w:pPr>
              <w:autoSpaceDE w:val="0"/>
              <w:autoSpaceDN w:val="0"/>
              <w:adjustRightInd w:val="0"/>
              <w:rPr>
                <w:rFonts w:eastAsiaTheme="minorHAnsi"/>
                <w:sz w:val="20"/>
                <w:szCs w:val="20"/>
              </w:rPr>
            </w:pPr>
          </w:p>
          <w:p w14:paraId="3EA19282"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DRC LAS Links® Second Edition, Forms C and D</w:t>
            </w:r>
          </w:p>
          <w:p w14:paraId="577E5D58" w14:textId="77777777" w:rsidR="004B0E92" w:rsidRDefault="004B0E92" w:rsidP="00385738">
            <w:pPr>
              <w:tabs>
                <w:tab w:val="left" w:pos="2760"/>
              </w:tabs>
              <w:rPr>
                <w:rFonts w:eastAsiaTheme="minorHAnsi"/>
                <w:sz w:val="20"/>
                <w:szCs w:val="20"/>
              </w:rPr>
            </w:pPr>
            <w:r>
              <w:rPr>
                <w:rFonts w:eastAsiaTheme="minorHAnsi"/>
                <w:sz w:val="20"/>
                <w:szCs w:val="20"/>
              </w:rPr>
              <w:t>Technical Manual, 2018</w:t>
            </w:r>
          </w:p>
          <w:p w14:paraId="25CFD236" w14:textId="77777777" w:rsidR="004B0E92" w:rsidRDefault="004B0E92" w:rsidP="00385738">
            <w:pPr>
              <w:tabs>
                <w:tab w:val="left" w:pos="2760"/>
              </w:tabs>
              <w:rPr>
                <w:rFonts w:eastAsiaTheme="minorHAnsi"/>
                <w:sz w:val="20"/>
                <w:szCs w:val="20"/>
              </w:rPr>
            </w:pPr>
          </w:p>
          <w:p w14:paraId="30C021E8" w14:textId="77777777" w:rsidR="004B0E92" w:rsidRPr="001E0BE8" w:rsidRDefault="004B0E92" w:rsidP="00385738">
            <w:pPr>
              <w:tabs>
                <w:tab w:val="left" w:pos="2760"/>
              </w:tabs>
            </w:pPr>
          </w:p>
        </w:tc>
        <w:tc>
          <w:tcPr>
            <w:tcW w:w="5013" w:type="dxa"/>
            <w:shd w:val="clear" w:color="auto" w:fill="auto"/>
          </w:tcPr>
          <w:p w14:paraId="55E19546" w14:textId="77777777" w:rsidR="004B0E92" w:rsidRDefault="004B0E92" w:rsidP="00385738">
            <w:pPr>
              <w:pStyle w:val="ListParagraph"/>
              <w:autoSpaceDE w:val="0"/>
              <w:autoSpaceDN w:val="0"/>
              <w:adjustRightInd w:val="0"/>
              <w:ind w:left="0"/>
              <w:rPr>
                <w:rFonts w:eastAsiaTheme="minorHAnsi"/>
                <w:sz w:val="20"/>
                <w:szCs w:val="20"/>
              </w:rPr>
            </w:pPr>
            <w:r>
              <w:rPr>
                <w:rFonts w:eastAsiaTheme="minorHAnsi"/>
                <w:sz w:val="20"/>
                <w:szCs w:val="20"/>
              </w:rPr>
              <w:t>Performance level descriptors are documented, but peers could not find sufficient evidence of the process used to develop them.</w:t>
            </w:r>
          </w:p>
          <w:p w14:paraId="4A289005" w14:textId="77777777" w:rsidR="004B0E92" w:rsidRDefault="004B0E92" w:rsidP="00385738">
            <w:pPr>
              <w:pStyle w:val="ListParagraph"/>
              <w:autoSpaceDE w:val="0"/>
              <w:autoSpaceDN w:val="0"/>
              <w:adjustRightInd w:val="0"/>
              <w:ind w:left="0"/>
              <w:rPr>
                <w:rFonts w:eastAsiaTheme="minorHAnsi"/>
                <w:sz w:val="20"/>
                <w:szCs w:val="20"/>
              </w:rPr>
            </w:pPr>
          </w:p>
          <w:p w14:paraId="1129F7BF"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LAS Links Approach to Alignment and Item</w:t>
            </w:r>
          </w:p>
          <w:p w14:paraId="12120B65" w14:textId="77777777" w:rsidR="004B0E92" w:rsidRDefault="004B0E92" w:rsidP="00385738">
            <w:pPr>
              <w:autoSpaceDE w:val="0"/>
              <w:autoSpaceDN w:val="0"/>
              <w:adjustRightInd w:val="0"/>
              <w:rPr>
                <w:rFonts w:eastAsiaTheme="minorHAnsi"/>
                <w:sz w:val="20"/>
                <w:szCs w:val="20"/>
              </w:rPr>
            </w:pPr>
            <w:r>
              <w:rPr>
                <w:rFonts w:eastAsiaTheme="minorHAnsi"/>
                <w:sz w:val="20"/>
                <w:szCs w:val="20"/>
              </w:rPr>
              <w:t xml:space="preserve">Development document does not apply to this CE. Moreover, </w:t>
            </w:r>
            <w:r>
              <w:rPr>
                <w:sz w:val="20"/>
                <w:szCs w:val="20"/>
              </w:rPr>
              <w:t xml:space="preserve">the statement offered by the State in the Submission Index addresses the ELP language standards, not the performance standards, thus offering no support for this CE. </w:t>
            </w:r>
          </w:p>
          <w:p w14:paraId="594BCD39" w14:textId="77777777" w:rsidR="004B0E92" w:rsidRDefault="004B0E92" w:rsidP="00385738">
            <w:pPr>
              <w:pStyle w:val="ListParagraph"/>
              <w:autoSpaceDE w:val="0"/>
              <w:autoSpaceDN w:val="0"/>
              <w:adjustRightInd w:val="0"/>
              <w:ind w:left="0"/>
              <w:rPr>
                <w:sz w:val="20"/>
                <w:szCs w:val="20"/>
              </w:rPr>
            </w:pPr>
          </w:p>
          <w:p w14:paraId="4C0CF200" w14:textId="77777777" w:rsidR="004B0E92" w:rsidRDefault="004B0E92" w:rsidP="00385738">
            <w:pPr>
              <w:pStyle w:val="ListParagraph"/>
              <w:autoSpaceDE w:val="0"/>
              <w:autoSpaceDN w:val="0"/>
              <w:adjustRightInd w:val="0"/>
              <w:ind w:left="0"/>
              <w:rPr>
                <w:sz w:val="20"/>
              </w:rPr>
            </w:pPr>
            <w:r w:rsidRPr="00787712">
              <w:rPr>
                <w:sz w:val="20"/>
              </w:rPr>
              <w:t>Peers could find no evidence of correspondence between the PLDs developed in the CTB standards review process and the TESOL standards used in the state, or of how the state addressed the differences in grade band configuration between TESOL standards and LAS Links.</w:t>
            </w:r>
            <w:r>
              <w:rPr>
                <w:sz w:val="20"/>
              </w:rPr>
              <w:t xml:space="preserve"> </w:t>
            </w:r>
          </w:p>
          <w:p w14:paraId="27ACD23A" w14:textId="77777777" w:rsidR="004B0E92" w:rsidRDefault="004B0E92" w:rsidP="00385738">
            <w:pPr>
              <w:pStyle w:val="ListParagraph"/>
              <w:autoSpaceDE w:val="0"/>
              <w:autoSpaceDN w:val="0"/>
              <w:adjustRightInd w:val="0"/>
              <w:ind w:left="0"/>
              <w:rPr>
                <w:sz w:val="20"/>
              </w:rPr>
            </w:pPr>
          </w:p>
          <w:p w14:paraId="2C09C7F3" w14:textId="77777777" w:rsidR="004B0E92" w:rsidRPr="0077197F" w:rsidRDefault="004B0E92" w:rsidP="00385738">
            <w:pPr>
              <w:pStyle w:val="ListParagraph"/>
              <w:autoSpaceDE w:val="0"/>
              <w:autoSpaceDN w:val="0"/>
              <w:adjustRightInd w:val="0"/>
              <w:ind w:left="0"/>
              <w:rPr>
                <w:sz w:val="20"/>
                <w:szCs w:val="20"/>
              </w:rPr>
            </w:pPr>
            <w:r>
              <w:rPr>
                <w:sz w:val="20"/>
              </w:rPr>
              <w:t xml:space="preserve">It should be noted here that, as stated previously in CE 1.1 and elsewhere, peers could find no evidence that the state has formally adopted any ELP language standards. This is a prerequisite to meeting many requirements throughout several CEs, including this one. </w:t>
            </w:r>
          </w:p>
        </w:tc>
      </w:tr>
      <w:tr w:rsidR="004B0E92" w:rsidRPr="00532BBF" w14:paraId="0E2D3913" w14:textId="77777777" w:rsidTr="00385738">
        <w:tc>
          <w:tcPr>
            <w:tcW w:w="13410" w:type="dxa"/>
            <w:gridSpan w:val="3"/>
            <w:shd w:val="clear" w:color="auto" w:fill="auto"/>
          </w:tcPr>
          <w:p w14:paraId="0CFE2DBC" w14:textId="77777777" w:rsidR="004B0E92" w:rsidRPr="00532BBF" w:rsidRDefault="004B0E92" w:rsidP="00385738">
            <w:pPr>
              <w:pStyle w:val="Heading4"/>
            </w:pPr>
            <w:r>
              <w:t xml:space="preserve">Section 6.3 </w:t>
            </w:r>
            <w:r w:rsidRPr="00532BBF">
              <w:t>Summary Statement</w:t>
            </w:r>
          </w:p>
        </w:tc>
      </w:tr>
      <w:tr w:rsidR="004B0E92" w:rsidRPr="00532BBF" w14:paraId="1F5E61D4" w14:textId="77777777" w:rsidTr="00385738">
        <w:tc>
          <w:tcPr>
            <w:tcW w:w="13410" w:type="dxa"/>
            <w:gridSpan w:val="3"/>
            <w:shd w:val="clear" w:color="auto" w:fill="auto"/>
          </w:tcPr>
          <w:p w14:paraId="77F35515" w14:textId="77777777" w:rsidR="004B0E92" w:rsidRPr="00532BBF" w:rsidRDefault="004B0E92" w:rsidP="00385738">
            <w:pPr>
              <w:rPr>
                <w:sz w:val="20"/>
                <w:szCs w:val="20"/>
              </w:rPr>
            </w:pPr>
            <w:r w:rsidRPr="00532BBF">
              <w:rPr>
                <w:sz w:val="20"/>
                <w:szCs w:val="20"/>
              </w:rPr>
              <w:t>___ No additional evidence is required or</w:t>
            </w:r>
          </w:p>
          <w:p w14:paraId="4D13F5E6" w14:textId="77777777" w:rsidR="004B0E92" w:rsidRPr="00532BBF" w:rsidRDefault="004B0E92" w:rsidP="00385738">
            <w:pPr>
              <w:rPr>
                <w:sz w:val="20"/>
                <w:szCs w:val="20"/>
              </w:rPr>
            </w:pPr>
          </w:p>
          <w:p w14:paraId="11CD485B" w14:textId="77777777" w:rsidR="004B0E92" w:rsidRPr="00532BBF" w:rsidRDefault="004B0E92" w:rsidP="00385738">
            <w:pPr>
              <w:rPr>
                <w:sz w:val="20"/>
                <w:szCs w:val="20"/>
              </w:rPr>
            </w:pPr>
            <w:r>
              <w:rPr>
                <w:sz w:val="20"/>
                <w:szCs w:val="20"/>
              </w:rPr>
              <w:t>_X</w:t>
            </w:r>
            <w:r w:rsidRPr="00532BBF">
              <w:rPr>
                <w:sz w:val="20"/>
                <w:szCs w:val="20"/>
              </w:rPr>
              <w:t>_ The following additional evidence is needed/provide brief rationale:</w:t>
            </w:r>
          </w:p>
          <w:p w14:paraId="0B5D8FB2" w14:textId="77777777" w:rsidR="004B0E92" w:rsidRPr="00532BBF" w:rsidRDefault="004B0E92" w:rsidP="008D31CB">
            <w:pPr>
              <w:pStyle w:val="ListParagraph"/>
              <w:numPr>
                <w:ilvl w:val="0"/>
                <w:numId w:val="3"/>
              </w:numPr>
              <w:ind w:left="157" w:hanging="157"/>
              <w:rPr>
                <w:sz w:val="20"/>
                <w:szCs w:val="20"/>
              </w:rPr>
            </w:pPr>
            <w:r w:rsidRPr="00787712">
              <w:rPr>
                <w:sz w:val="20"/>
                <w:szCs w:val="20"/>
              </w:rPr>
              <w:t xml:space="preserve">Evidence, including a plan and timeline, to ensure that ELP assessment results are expressed in terms that are clearly aligned with the State’s </w:t>
            </w:r>
            <w:r>
              <w:rPr>
                <w:sz w:val="20"/>
                <w:szCs w:val="20"/>
              </w:rPr>
              <w:t xml:space="preserve">formally-adopted </w:t>
            </w:r>
            <w:r w:rsidRPr="00787712">
              <w:rPr>
                <w:sz w:val="20"/>
                <w:szCs w:val="20"/>
              </w:rPr>
              <w:t>ELP standards, and its ELP performance-level descriptors</w:t>
            </w:r>
          </w:p>
        </w:tc>
      </w:tr>
    </w:tbl>
    <w:p w14:paraId="02DBC468" w14:textId="77777777" w:rsidR="004B0E92" w:rsidRDefault="004B0E92" w:rsidP="004B0E92">
      <w:pPr>
        <w:rPr>
          <w:b/>
          <w:sz w:val="20"/>
          <w:szCs w:val="20"/>
        </w:rPr>
      </w:pPr>
    </w:p>
    <w:p w14:paraId="440A7AB6" w14:textId="77777777" w:rsidR="004B0E92" w:rsidRDefault="004B0E92" w:rsidP="004B0E92">
      <w:pPr>
        <w:rPr>
          <w:b/>
          <w:sz w:val="20"/>
          <w:szCs w:val="20"/>
        </w:rPr>
      </w:pPr>
    </w:p>
    <w:p w14:paraId="6112630C" w14:textId="77777777" w:rsidR="004B0E92" w:rsidRDefault="004B0E92" w:rsidP="004B0E92">
      <w:pPr>
        <w:pStyle w:val="Heading2"/>
      </w:pPr>
      <w:r>
        <w:br w:type="page"/>
      </w:r>
      <w:bookmarkStart w:id="43" w:name="_Toc3354988"/>
      <w:r w:rsidRPr="0054349C">
        <w:t>Critical Element 6.</w:t>
      </w:r>
      <w:r>
        <w:t>4</w:t>
      </w:r>
      <w:r w:rsidRPr="0054349C">
        <w:t xml:space="preserve"> –</w:t>
      </w:r>
      <w:r>
        <w:t xml:space="preserve"> Reporting</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B0E92" w:rsidRPr="005809BE" w14:paraId="4AD9AE89"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96EA66B" w14:textId="77777777" w:rsidR="004B0E92" w:rsidRPr="005809BE" w:rsidRDefault="004B0E9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4F30F4B" w14:textId="77777777" w:rsidR="004B0E92" w:rsidRPr="005809BE" w:rsidRDefault="004B0E9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B9E8178" w14:textId="77777777" w:rsidR="004B0E92" w:rsidRPr="005809BE" w:rsidRDefault="004B0E92" w:rsidP="00385738">
            <w:pPr>
              <w:rPr>
                <w:b/>
                <w:sz w:val="20"/>
              </w:rPr>
            </w:pPr>
            <w:r w:rsidRPr="005809BE">
              <w:rPr>
                <w:b/>
                <w:sz w:val="20"/>
              </w:rPr>
              <w:t xml:space="preserve">Comments/Notes/Questions/Suggestions Regarding State Documentation or Evidence </w:t>
            </w:r>
          </w:p>
        </w:tc>
      </w:tr>
      <w:bookmarkEnd w:id="14"/>
      <w:tr w:rsidR="004B0E92" w14:paraId="481243D3" w14:textId="77777777" w:rsidTr="00385738">
        <w:tc>
          <w:tcPr>
            <w:tcW w:w="3618" w:type="dxa"/>
            <w:shd w:val="clear" w:color="auto" w:fill="auto"/>
          </w:tcPr>
          <w:p w14:paraId="1C09A4B9" w14:textId="77777777" w:rsidR="004B0E92" w:rsidRPr="00B01EAB" w:rsidRDefault="004B0E92" w:rsidP="00385738">
            <w:pPr>
              <w:spacing w:before="80"/>
              <w:rPr>
                <w:sz w:val="20"/>
              </w:rPr>
            </w:pPr>
            <w:r w:rsidRPr="00B01EAB">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390116B6" w14:textId="77777777" w:rsidR="004B0E92" w:rsidRPr="00B01EAB" w:rsidRDefault="004B0E92" w:rsidP="00385738">
            <w:pPr>
              <w:spacing w:before="80"/>
              <w:rPr>
                <w:sz w:val="20"/>
              </w:rPr>
            </w:pPr>
          </w:p>
          <w:p w14:paraId="79D12539" w14:textId="77777777" w:rsidR="004B0E92" w:rsidRPr="00B01EAB" w:rsidRDefault="004B0E92" w:rsidP="00385738">
            <w:pPr>
              <w:rPr>
                <w:bCs/>
                <w:sz w:val="20"/>
              </w:rPr>
            </w:pPr>
            <w:r w:rsidRPr="00B01EAB">
              <w:rPr>
                <w:bCs/>
                <w:sz w:val="20"/>
              </w:rPr>
              <w:t xml:space="preserve">The State reports to the public its assessment results on </w:t>
            </w:r>
            <w:r w:rsidRPr="00B01EAB">
              <w:rPr>
                <w:b/>
                <w:bCs/>
                <w:i/>
                <w:sz w:val="20"/>
              </w:rPr>
              <w:t>English language proficiency for all ELs</w:t>
            </w:r>
            <w:r w:rsidRPr="00B01EAB">
              <w:rPr>
                <w:bCs/>
                <w:sz w:val="20"/>
              </w:rPr>
              <w:t xml:space="preserve"> </w:t>
            </w:r>
            <w:r w:rsidRPr="00B01EAB">
              <w:rPr>
                <w:b/>
                <w:bCs/>
                <w:i/>
                <w:sz w:val="20"/>
              </w:rPr>
              <w:t>including the number and percentage of ELs attaining ELP</w:t>
            </w:r>
            <w:r w:rsidRPr="00B01EAB">
              <w:rPr>
                <w:bCs/>
                <w:sz w:val="20"/>
              </w:rPr>
              <w:t>.</w:t>
            </w:r>
          </w:p>
          <w:p w14:paraId="678DE521" w14:textId="77777777" w:rsidR="004B0E92" w:rsidRPr="00B01EAB" w:rsidRDefault="004B0E92" w:rsidP="00385738">
            <w:pPr>
              <w:contextualSpacing/>
              <w:rPr>
                <w:sz w:val="20"/>
                <w:szCs w:val="20"/>
              </w:rPr>
            </w:pPr>
          </w:p>
          <w:p w14:paraId="499C12B5" w14:textId="77777777" w:rsidR="004B0E92" w:rsidRPr="00B01EAB" w:rsidRDefault="004B0E92" w:rsidP="00385738">
            <w:pPr>
              <w:contextualSpacing/>
              <w:rPr>
                <w:sz w:val="20"/>
                <w:szCs w:val="20"/>
              </w:rPr>
            </w:pPr>
            <w:r w:rsidRPr="00B01EAB">
              <w:rPr>
                <w:sz w:val="20"/>
                <w:szCs w:val="20"/>
              </w:rPr>
              <w:t xml:space="preserve">For the </w:t>
            </w:r>
            <w:r w:rsidRPr="00B01EAB">
              <w:rPr>
                <w:b/>
                <w:i/>
                <w:sz w:val="20"/>
                <w:szCs w:val="20"/>
              </w:rPr>
              <w:t>ELP assessment</w:t>
            </w:r>
            <w:r w:rsidRPr="00B01EAB">
              <w:rPr>
                <w:sz w:val="20"/>
                <w:szCs w:val="20"/>
              </w:rPr>
              <w:t xml:space="preserve">, the State provides coherent and timely information about each student’s attainment of the State’s ELP standards to parents that:  </w:t>
            </w:r>
          </w:p>
          <w:p w14:paraId="03867CEE" w14:textId="77777777" w:rsidR="004B0E92" w:rsidRPr="00B01EAB" w:rsidRDefault="004B0E92" w:rsidP="008D31CB">
            <w:pPr>
              <w:pStyle w:val="ListParagraph"/>
              <w:numPr>
                <w:ilvl w:val="1"/>
                <w:numId w:val="5"/>
              </w:numPr>
              <w:ind w:left="360"/>
              <w:contextualSpacing/>
              <w:rPr>
                <w:sz w:val="20"/>
                <w:szCs w:val="20"/>
              </w:rPr>
            </w:pPr>
            <w:r w:rsidRPr="00B01EAB">
              <w:rPr>
                <w:sz w:val="20"/>
                <w:szCs w:val="20"/>
              </w:rPr>
              <w:t xml:space="preserve">Reports the </w:t>
            </w:r>
            <w:r w:rsidRPr="00B01EAB">
              <w:rPr>
                <w:b/>
                <w:i/>
                <w:sz w:val="20"/>
                <w:szCs w:val="20"/>
              </w:rPr>
              <w:t xml:space="preserve">ELs’ English proficiency </w:t>
            </w:r>
            <w:r w:rsidRPr="00B01EAB">
              <w:rPr>
                <w:sz w:val="20"/>
                <w:szCs w:val="20"/>
              </w:rPr>
              <w:t>in terms of the State’s grade level/grade-band ELP standards (including performance-level descriptors);</w:t>
            </w:r>
          </w:p>
          <w:p w14:paraId="59735B66" w14:textId="77777777" w:rsidR="004B0E92" w:rsidRPr="00B01EAB" w:rsidRDefault="004B0E92" w:rsidP="008D31CB">
            <w:pPr>
              <w:numPr>
                <w:ilvl w:val="1"/>
                <w:numId w:val="5"/>
              </w:numPr>
              <w:ind w:left="360"/>
              <w:rPr>
                <w:sz w:val="20"/>
                <w:szCs w:val="20"/>
              </w:rPr>
            </w:pPr>
            <w:r w:rsidRPr="00B01EAB">
              <w:rPr>
                <w:sz w:val="20"/>
                <w:szCs w:val="20"/>
              </w:rPr>
              <w:t>Are provided in an understandable and uniform format;</w:t>
            </w:r>
          </w:p>
          <w:p w14:paraId="398646F3" w14:textId="77777777" w:rsidR="004B0E92" w:rsidRPr="00B01EAB" w:rsidRDefault="004B0E92" w:rsidP="008D31CB">
            <w:pPr>
              <w:numPr>
                <w:ilvl w:val="1"/>
                <w:numId w:val="5"/>
              </w:numPr>
              <w:ind w:left="360"/>
              <w:rPr>
                <w:sz w:val="20"/>
                <w:szCs w:val="20"/>
              </w:rPr>
            </w:pPr>
            <w:r w:rsidRPr="00B01EAB">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6F5CAB85" w14:textId="77777777" w:rsidR="004B0E92" w:rsidRPr="00B01EAB" w:rsidRDefault="004B0E92" w:rsidP="008D31CB">
            <w:pPr>
              <w:numPr>
                <w:ilvl w:val="1"/>
                <w:numId w:val="5"/>
              </w:numPr>
              <w:ind w:left="360"/>
              <w:rPr>
                <w:sz w:val="20"/>
                <w:szCs w:val="20"/>
              </w:rPr>
            </w:pPr>
            <w:r w:rsidRPr="00B01EAB">
              <w:rPr>
                <w:sz w:val="20"/>
                <w:szCs w:val="20"/>
              </w:rPr>
              <w:t>Upon request by a parent who is an individual with a disability as defined by the ADA, as amended, are provided in an alternative format accessible to that parent.</w:t>
            </w:r>
          </w:p>
          <w:p w14:paraId="512D05F3" w14:textId="77777777" w:rsidR="004B0E92" w:rsidRPr="00B01EAB" w:rsidRDefault="004B0E92" w:rsidP="00385738">
            <w:pPr>
              <w:pStyle w:val="ListParagraph"/>
              <w:ind w:left="0"/>
              <w:rPr>
                <w:sz w:val="20"/>
                <w:szCs w:val="20"/>
              </w:rPr>
            </w:pPr>
          </w:p>
          <w:p w14:paraId="474A2633" w14:textId="77777777" w:rsidR="004B0E92" w:rsidRPr="00B01EAB" w:rsidRDefault="004B0E92" w:rsidP="00385738">
            <w:pPr>
              <w:ind w:left="720"/>
              <w:rPr>
                <w:sz w:val="20"/>
                <w:szCs w:val="20"/>
              </w:rPr>
            </w:pPr>
          </w:p>
        </w:tc>
        <w:tc>
          <w:tcPr>
            <w:tcW w:w="4779" w:type="dxa"/>
            <w:shd w:val="clear" w:color="auto" w:fill="auto"/>
          </w:tcPr>
          <w:p w14:paraId="02A85417" w14:textId="77777777" w:rsidR="004B0E92" w:rsidRPr="00B01EAB" w:rsidRDefault="004B0E92" w:rsidP="00385738">
            <w:pPr>
              <w:autoSpaceDE w:val="0"/>
              <w:autoSpaceDN w:val="0"/>
              <w:adjustRightInd w:val="0"/>
              <w:rPr>
                <w:rFonts w:eastAsiaTheme="minorHAnsi"/>
                <w:sz w:val="20"/>
                <w:szCs w:val="20"/>
              </w:rPr>
            </w:pPr>
            <w:r w:rsidRPr="00B01EAB">
              <w:rPr>
                <w:rFonts w:eastAsiaTheme="minorHAnsi"/>
                <w:sz w:val="20"/>
                <w:szCs w:val="20"/>
              </w:rPr>
              <w:t>Welcome to DRC Online Reporting - Sample email</w:t>
            </w:r>
          </w:p>
          <w:p w14:paraId="0EAE9681" w14:textId="77777777" w:rsidR="004B0E92" w:rsidRDefault="004B0E92" w:rsidP="00385738">
            <w:pPr>
              <w:autoSpaceDE w:val="0"/>
              <w:autoSpaceDN w:val="0"/>
              <w:adjustRightInd w:val="0"/>
              <w:rPr>
                <w:rFonts w:eastAsiaTheme="minorHAnsi"/>
                <w:sz w:val="20"/>
                <w:szCs w:val="20"/>
              </w:rPr>
            </w:pPr>
            <w:r w:rsidRPr="00B01EAB">
              <w:rPr>
                <w:rFonts w:eastAsiaTheme="minorHAnsi"/>
                <w:sz w:val="20"/>
                <w:szCs w:val="20"/>
              </w:rPr>
              <w:t>sent to local districts</w:t>
            </w:r>
          </w:p>
          <w:p w14:paraId="5AD0836B" w14:textId="77777777" w:rsidR="004B0E92" w:rsidRDefault="004B0E92" w:rsidP="00385738">
            <w:pPr>
              <w:autoSpaceDE w:val="0"/>
              <w:autoSpaceDN w:val="0"/>
              <w:adjustRightInd w:val="0"/>
              <w:rPr>
                <w:rFonts w:eastAsiaTheme="minorHAnsi"/>
                <w:sz w:val="20"/>
                <w:szCs w:val="20"/>
              </w:rPr>
            </w:pPr>
          </w:p>
          <w:p w14:paraId="0C4E8554" w14:textId="77777777" w:rsidR="004B0E92" w:rsidRDefault="004B0E92" w:rsidP="00385738">
            <w:pPr>
              <w:autoSpaceDE w:val="0"/>
              <w:autoSpaceDN w:val="0"/>
              <w:adjustRightInd w:val="0"/>
              <w:rPr>
                <w:rFonts w:eastAsiaTheme="minorHAnsi"/>
                <w:sz w:val="20"/>
                <w:szCs w:val="20"/>
              </w:rPr>
            </w:pPr>
            <w:r w:rsidRPr="00B01EAB">
              <w:rPr>
                <w:rFonts w:eastAsiaTheme="minorHAnsi"/>
                <w:sz w:val="20"/>
                <w:szCs w:val="20"/>
              </w:rPr>
              <w:t>LAS Links Sample Reports, January 2019</w:t>
            </w:r>
          </w:p>
          <w:p w14:paraId="3B5D98BE" w14:textId="77777777" w:rsidR="004B0E92" w:rsidRDefault="004B0E92" w:rsidP="00385738">
            <w:pPr>
              <w:autoSpaceDE w:val="0"/>
              <w:autoSpaceDN w:val="0"/>
              <w:adjustRightInd w:val="0"/>
              <w:rPr>
                <w:rFonts w:ascii="Wingdings-Regular" w:eastAsia="Wingdings-Regular" w:cs="Wingdings-Regular"/>
                <w:sz w:val="20"/>
                <w:szCs w:val="20"/>
              </w:rPr>
            </w:pPr>
          </w:p>
          <w:p w14:paraId="10B997D4" w14:textId="77777777" w:rsidR="004B0E92" w:rsidRPr="00B01EAB" w:rsidRDefault="004B0E92" w:rsidP="00385738">
            <w:pPr>
              <w:autoSpaceDE w:val="0"/>
              <w:autoSpaceDN w:val="0"/>
              <w:adjustRightInd w:val="0"/>
              <w:rPr>
                <w:rFonts w:eastAsiaTheme="minorHAnsi"/>
                <w:sz w:val="20"/>
                <w:szCs w:val="20"/>
              </w:rPr>
            </w:pPr>
            <w:r w:rsidRPr="00B01EAB">
              <w:rPr>
                <w:rFonts w:eastAsiaTheme="minorHAnsi"/>
                <w:sz w:val="20"/>
                <w:szCs w:val="20"/>
              </w:rPr>
              <w:t>LAS Links Online Second Edition Sample Reports</w:t>
            </w:r>
          </w:p>
          <w:p w14:paraId="3B025B96" w14:textId="77777777" w:rsidR="004B0E92" w:rsidRPr="0088531D" w:rsidRDefault="004B0E92" w:rsidP="00385738">
            <w:pPr>
              <w:rPr>
                <w:sz w:val="20"/>
                <w:szCs w:val="20"/>
              </w:rPr>
            </w:pPr>
            <w:r w:rsidRPr="00B01EAB">
              <w:rPr>
                <w:rFonts w:eastAsiaTheme="minorHAnsi"/>
                <w:sz w:val="20"/>
                <w:szCs w:val="20"/>
              </w:rPr>
              <w:t xml:space="preserve">for Forms C and </w:t>
            </w:r>
            <w:r w:rsidRPr="0088531D">
              <w:rPr>
                <w:rFonts w:eastAsiaTheme="minorHAnsi"/>
                <w:sz w:val="20"/>
                <w:szCs w:val="20"/>
              </w:rPr>
              <w:t>D</w:t>
            </w:r>
            <w:r>
              <w:rPr>
                <w:rFonts w:eastAsiaTheme="minorHAnsi"/>
                <w:sz w:val="20"/>
                <w:szCs w:val="20"/>
              </w:rPr>
              <w:t xml:space="preserve"> –</w:t>
            </w:r>
            <w:r w:rsidRPr="0088531D">
              <w:rPr>
                <w:rFonts w:eastAsiaTheme="minorHAnsi"/>
                <w:sz w:val="20"/>
                <w:szCs w:val="20"/>
              </w:rPr>
              <w:t xml:space="preserve"> </w:t>
            </w:r>
            <w:r>
              <w:rPr>
                <w:rFonts w:eastAsiaTheme="minorHAnsi"/>
                <w:sz w:val="20"/>
                <w:szCs w:val="20"/>
              </w:rPr>
              <w:t>Peers note that t</w:t>
            </w:r>
            <w:r w:rsidRPr="0088531D">
              <w:rPr>
                <w:rFonts w:eastAsiaTheme="minorHAnsi"/>
                <w:sz w:val="20"/>
                <w:szCs w:val="20"/>
              </w:rPr>
              <w:t xml:space="preserve">his document has the same content as </w:t>
            </w:r>
            <w:r w:rsidRPr="0088531D">
              <w:rPr>
                <w:sz w:val="20"/>
                <w:szCs w:val="20"/>
              </w:rPr>
              <w:t>LAS Links</w:t>
            </w:r>
            <w:r>
              <w:rPr>
                <w:sz w:val="20"/>
                <w:szCs w:val="20"/>
              </w:rPr>
              <w:t xml:space="preserve"> Second Edition Sample Reports</w:t>
            </w:r>
          </w:p>
          <w:p w14:paraId="64804C7A" w14:textId="77777777" w:rsidR="004B0E92" w:rsidRDefault="004B0E92" w:rsidP="00385738">
            <w:pPr>
              <w:rPr>
                <w:rFonts w:eastAsiaTheme="minorHAnsi"/>
                <w:color w:val="FF0000"/>
                <w:sz w:val="20"/>
                <w:szCs w:val="20"/>
              </w:rPr>
            </w:pPr>
          </w:p>
          <w:p w14:paraId="2902CCFF" w14:textId="77777777" w:rsidR="004B0E92" w:rsidRDefault="004B0E92" w:rsidP="00385738">
            <w:pPr>
              <w:rPr>
                <w:rFonts w:eastAsiaTheme="minorHAnsi"/>
                <w:sz w:val="20"/>
                <w:szCs w:val="20"/>
              </w:rPr>
            </w:pPr>
            <w:r>
              <w:rPr>
                <w:rFonts w:eastAsiaTheme="minorHAnsi"/>
                <w:sz w:val="20"/>
                <w:szCs w:val="20"/>
              </w:rPr>
              <w:t>MS Report Card for English Learners, 2017-2018</w:t>
            </w:r>
          </w:p>
          <w:p w14:paraId="6B7F22F5" w14:textId="77777777" w:rsidR="004B0E92" w:rsidRDefault="004B0E92" w:rsidP="00385738">
            <w:pPr>
              <w:rPr>
                <w:rFonts w:eastAsiaTheme="minorHAnsi"/>
                <w:sz w:val="20"/>
                <w:szCs w:val="20"/>
              </w:rPr>
            </w:pPr>
          </w:p>
          <w:p w14:paraId="076D066C" w14:textId="77777777" w:rsidR="004B0E92" w:rsidRPr="0077197F" w:rsidRDefault="004B0E92" w:rsidP="00385738">
            <w:pPr>
              <w:rPr>
                <w:sz w:val="20"/>
                <w:szCs w:val="20"/>
              </w:rPr>
            </w:pPr>
          </w:p>
        </w:tc>
        <w:tc>
          <w:tcPr>
            <w:tcW w:w="5013" w:type="dxa"/>
            <w:shd w:val="clear" w:color="auto" w:fill="auto"/>
          </w:tcPr>
          <w:p w14:paraId="7C9C029F" w14:textId="77777777" w:rsidR="004B0E92" w:rsidRDefault="004B0E92" w:rsidP="00385738">
            <w:pPr>
              <w:rPr>
                <w:rFonts w:eastAsiaTheme="minorHAnsi"/>
                <w:sz w:val="20"/>
                <w:szCs w:val="20"/>
              </w:rPr>
            </w:pPr>
            <w:r>
              <w:rPr>
                <w:rFonts w:eastAsiaTheme="minorHAnsi"/>
                <w:sz w:val="20"/>
                <w:szCs w:val="20"/>
              </w:rPr>
              <w:t xml:space="preserve">The MS Report Card for English Learners, 2017-2018 provides </w:t>
            </w:r>
            <w:r w:rsidRPr="007A6921">
              <w:rPr>
                <w:sz w:val="20"/>
                <w:szCs w:val="20"/>
              </w:rPr>
              <w:t>the minimum requirements of number and percentage of students who were proficient</w:t>
            </w:r>
            <w:r>
              <w:rPr>
                <w:sz w:val="20"/>
                <w:szCs w:val="20"/>
              </w:rPr>
              <w:t xml:space="preserve">, and percent making expected growth. However, peers could not find required </w:t>
            </w:r>
            <w:r w:rsidRPr="007A6921">
              <w:rPr>
                <w:sz w:val="20"/>
                <w:szCs w:val="20"/>
              </w:rPr>
              <w:t>summa</w:t>
            </w:r>
            <w:r>
              <w:rPr>
                <w:sz w:val="20"/>
                <w:szCs w:val="20"/>
              </w:rPr>
              <w:t xml:space="preserve">ry data by grade, nor by domain. This report appears to be intended for accountability purposes as well. If so, there does not appear to be sufficient evidence to support appropriate, credible, and defensible interpretations of the information provided. Similarly, peers could find no </w:t>
            </w:r>
            <w:r>
              <w:rPr>
                <w:rFonts w:eastAsiaTheme="minorHAnsi"/>
                <w:sz w:val="20"/>
                <w:szCs w:val="20"/>
              </w:rPr>
              <w:t xml:space="preserve">link between reports and program decisions, with the exception of criteria for program exit. </w:t>
            </w:r>
          </w:p>
          <w:p w14:paraId="081D801B" w14:textId="77777777" w:rsidR="004B0E92" w:rsidRDefault="004B0E92" w:rsidP="00385738">
            <w:pPr>
              <w:rPr>
                <w:sz w:val="20"/>
                <w:szCs w:val="20"/>
              </w:rPr>
            </w:pPr>
          </w:p>
          <w:p w14:paraId="6EC8467A" w14:textId="77777777" w:rsidR="004B0E92" w:rsidRDefault="004B0E92" w:rsidP="00385738">
            <w:pPr>
              <w:rPr>
                <w:rFonts w:eastAsiaTheme="minorHAnsi"/>
                <w:sz w:val="20"/>
                <w:szCs w:val="20"/>
              </w:rPr>
            </w:pPr>
            <w:r>
              <w:rPr>
                <w:rFonts w:eastAsiaTheme="minorHAnsi"/>
                <w:sz w:val="20"/>
                <w:szCs w:val="20"/>
              </w:rPr>
              <w:t xml:space="preserve">While not cited for this CE, the LAS Links Interpretive Guide, Section 3 does provide sample reports including Home Reports. However, it is unclear whether the document is sufficiently tailored to parents or teachers, nor is it clear if this document is provided to the state’s stakeholders. Moreover, it is unclear what other </w:t>
            </w:r>
            <w:r w:rsidRPr="00B01EAB">
              <w:rPr>
                <w:sz w:val="20"/>
                <w:szCs w:val="20"/>
              </w:rPr>
              <w:t>materials</w:t>
            </w:r>
            <w:r>
              <w:rPr>
                <w:sz w:val="20"/>
                <w:szCs w:val="20"/>
              </w:rPr>
              <w:t xml:space="preserve">, if any, </w:t>
            </w:r>
            <w:r w:rsidRPr="00B01EAB">
              <w:rPr>
                <w:sz w:val="20"/>
                <w:szCs w:val="20"/>
              </w:rPr>
              <w:t>the state make</w:t>
            </w:r>
            <w:r>
              <w:rPr>
                <w:sz w:val="20"/>
                <w:szCs w:val="20"/>
              </w:rPr>
              <w:t>s</w:t>
            </w:r>
            <w:r w:rsidRPr="00B01EAB">
              <w:rPr>
                <w:sz w:val="20"/>
                <w:szCs w:val="20"/>
              </w:rPr>
              <w:t xml:space="preserve"> available to support appropriate interpretation and uses</w:t>
            </w:r>
            <w:r>
              <w:rPr>
                <w:sz w:val="20"/>
                <w:szCs w:val="20"/>
              </w:rPr>
              <w:t xml:space="preserve"> of results, or where this material can be located by stakeholders. </w:t>
            </w:r>
            <w:r w:rsidRPr="00B01EAB">
              <w:rPr>
                <w:sz w:val="20"/>
                <w:szCs w:val="20"/>
              </w:rPr>
              <w:t xml:space="preserve"> </w:t>
            </w:r>
            <w:r>
              <w:rPr>
                <w:sz w:val="20"/>
                <w:szCs w:val="20"/>
              </w:rPr>
              <w:t xml:space="preserve">Also, it is unclear if there are </w:t>
            </w:r>
            <w:r w:rsidRPr="00B01EAB">
              <w:rPr>
                <w:sz w:val="20"/>
                <w:szCs w:val="20"/>
              </w:rPr>
              <w:t xml:space="preserve">resources </w:t>
            </w:r>
            <w:r>
              <w:rPr>
                <w:sz w:val="20"/>
                <w:szCs w:val="20"/>
              </w:rPr>
              <w:t xml:space="preserve">to </w:t>
            </w:r>
            <w:r w:rsidRPr="00B01EAB">
              <w:rPr>
                <w:sz w:val="20"/>
                <w:szCs w:val="20"/>
              </w:rPr>
              <w:t xml:space="preserve">support appropriate interpretation </w:t>
            </w:r>
            <w:r>
              <w:rPr>
                <w:sz w:val="20"/>
                <w:szCs w:val="20"/>
              </w:rPr>
              <w:t xml:space="preserve">of results </w:t>
            </w:r>
            <w:r w:rsidRPr="00B01EAB">
              <w:rPr>
                <w:sz w:val="20"/>
                <w:szCs w:val="20"/>
              </w:rPr>
              <w:t xml:space="preserve">relative to the state’s </w:t>
            </w:r>
            <w:r>
              <w:rPr>
                <w:sz w:val="20"/>
                <w:szCs w:val="20"/>
              </w:rPr>
              <w:t>ELP standards.</w:t>
            </w:r>
          </w:p>
          <w:p w14:paraId="144498C7" w14:textId="77777777" w:rsidR="004B0E92" w:rsidRDefault="004B0E92" w:rsidP="00385738">
            <w:pPr>
              <w:rPr>
                <w:rFonts w:eastAsiaTheme="minorHAnsi"/>
                <w:sz w:val="20"/>
                <w:szCs w:val="20"/>
              </w:rPr>
            </w:pPr>
          </w:p>
          <w:p w14:paraId="26A5D7D8" w14:textId="77777777" w:rsidR="004B0E92" w:rsidRDefault="004B0E92" w:rsidP="00385738">
            <w:pPr>
              <w:rPr>
                <w:rFonts w:eastAsiaTheme="minorHAnsi"/>
                <w:sz w:val="20"/>
                <w:szCs w:val="20"/>
              </w:rPr>
            </w:pPr>
            <w:r>
              <w:rPr>
                <w:rFonts w:eastAsiaTheme="minorHAnsi"/>
                <w:sz w:val="20"/>
                <w:szCs w:val="20"/>
              </w:rPr>
              <w:t xml:space="preserve">Peers could not find evidence of which LAS Links reports are used in the state, timeliness of reporting of state results, processes for accessing reports in other languages, or information on ADA-accessible versions. </w:t>
            </w:r>
          </w:p>
          <w:p w14:paraId="4356533C" w14:textId="77777777" w:rsidR="004B0E92" w:rsidRDefault="004B0E92" w:rsidP="00385738">
            <w:pPr>
              <w:rPr>
                <w:rFonts w:eastAsiaTheme="minorHAnsi"/>
                <w:sz w:val="20"/>
                <w:szCs w:val="20"/>
              </w:rPr>
            </w:pPr>
          </w:p>
          <w:p w14:paraId="61C3EF80" w14:textId="77777777" w:rsidR="004B0E92" w:rsidRDefault="004B0E92" w:rsidP="00385738">
            <w:pPr>
              <w:rPr>
                <w:rFonts w:eastAsiaTheme="minorHAnsi"/>
                <w:sz w:val="20"/>
                <w:szCs w:val="20"/>
              </w:rPr>
            </w:pPr>
            <w:r>
              <w:rPr>
                <w:rFonts w:eastAsiaTheme="minorHAnsi"/>
                <w:sz w:val="20"/>
                <w:szCs w:val="20"/>
              </w:rPr>
              <w:t xml:space="preserve">Evidence provided indicates a contract for translated reports, but peers could not find evidence that these were used. </w:t>
            </w:r>
          </w:p>
          <w:p w14:paraId="34C7DF03" w14:textId="77777777" w:rsidR="004B0E92" w:rsidRDefault="004B0E92" w:rsidP="00385738">
            <w:pPr>
              <w:rPr>
                <w:rFonts w:eastAsiaTheme="minorHAnsi"/>
                <w:sz w:val="20"/>
                <w:szCs w:val="20"/>
              </w:rPr>
            </w:pPr>
          </w:p>
          <w:p w14:paraId="72C343F0" w14:textId="77777777" w:rsidR="004B0E92" w:rsidRPr="0077197F" w:rsidRDefault="004B0E92" w:rsidP="00385738">
            <w:pPr>
              <w:rPr>
                <w:sz w:val="20"/>
                <w:szCs w:val="20"/>
              </w:rPr>
            </w:pPr>
          </w:p>
        </w:tc>
      </w:tr>
      <w:tr w:rsidR="004B0E92" w:rsidRPr="00532BBF" w14:paraId="23ED5A8D" w14:textId="77777777" w:rsidTr="00385738">
        <w:tc>
          <w:tcPr>
            <w:tcW w:w="13410" w:type="dxa"/>
            <w:gridSpan w:val="3"/>
            <w:shd w:val="clear" w:color="auto" w:fill="auto"/>
          </w:tcPr>
          <w:p w14:paraId="7FC0D662" w14:textId="77777777" w:rsidR="004B0E92" w:rsidRPr="00532BBF" w:rsidRDefault="004B0E92" w:rsidP="00385738">
            <w:pPr>
              <w:pStyle w:val="Heading4"/>
            </w:pPr>
            <w:r>
              <w:t xml:space="preserve">Section 6.4 </w:t>
            </w:r>
            <w:r w:rsidRPr="00532BBF">
              <w:t>Summary Statement</w:t>
            </w:r>
          </w:p>
        </w:tc>
      </w:tr>
      <w:tr w:rsidR="004B0E92" w:rsidRPr="00532BBF" w14:paraId="1A7D4AC9" w14:textId="77777777" w:rsidTr="00385738">
        <w:tc>
          <w:tcPr>
            <w:tcW w:w="13410" w:type="dxa"/>
            <w:gridSpan w:val="3"/>
            <w:shd w:val="clear" w:color="auto" w:fill="auto"/>
          </w:tcPr>
          <w:p w14:paraId="63B78AE4" w14:textId="77777777" w:rsidR="004B0E92" w:rsidRPr="00532BBF" w:rsidRDefault="004B0E92" w:rsidP="00385738">
            <w:pPr>
              <w:rPr>
                <w:sz w:val="20"/>
                <w:szCs w:val="20"/>
              </w:rPr>
            </w:pPr>
            <w:r w:rsidRPr="00532BBF">
              <w:rPr>
                <w:sz w:val="20"/>
                <w:szCs w:val="20"/>
              </w:rPr>
              <w:t>___ No additional evidence is required or</w:t>
            </w:r>
          </w:p>
          <w:p w14:paraId="13584B76" w14:textId="77777777" w:rsidR="004B0E92" w:rsidRPr="00532BBF" w:rsidRDefault="004B0E92" w:rsidP="00385738">
            <w:pPr>
              <w:rPr>
                <w:sz w:val="20"/>
                <w:szCs w:val="20"/>
              </w:rPr>
            </w:pPr>
          </w:p>
          <w:p w14:paraId="3D53A04B" w14:textId="77777777" w:rsidR="004B0E92" w:rsidRPr="00532BBF" w:rsidRDefault="004B0E92" w:rsidP="00385738">
            <w:pPr>
              <w:rPr>
                <w:sz w:val="20"/>
                <w:szCs w:val="20"/>
              </w:rPr>
            </w:pPr>
            <w:r>
              <w:rPr>
                <w:sz w:val="20"/>
                <w:szCs w:val="20"/>
              </w:rPr>
              <w:t>_X</w:t>
            </w:r>
            <w:r w:rsidRPr="00532BBF">
              <w:rPr>
                <w:sz w:val="20"/>
                <w:szCs w:val="20"/>
              </w:rPr>
              <w:t>_ The following additional evidence is needed/provide brief rationale:</w:t>
            </w:r>
          </w:p>
          <w:p w14:paraId="4C394073" w14:textId="77777777" w:rsidR="004B0E92" w:rsidRDefault="004B0E92" w:rsidP="008D31CB">
            <w:pPr>
              <w:pStyle w:val="ListParagraph"/>
              <w:numPr>
                <w:ilvl w:val="0"/>
                <w:numId w:val="34"/>
              </w:numPr>
              <w:spacing w:before="80"/>
              <w:ind w:left="337"/>
              <w:rPr>
                <w:sz w:val="20"/>
              </w:rPr>
            </w:pPr>
            <w:r>
              <w:rPr>
                <w:sz w:val="20"/>
              </w:rPr>
              <w:t>Evidence that t</w:t>
            </w:r>
            <w:r w:rsidRPr="008C6443">
              <w:rPr>
                <w:sz w:val="20"/>
              </w:rPr>
              <w:t>he State reports its assessment results for all students assessed, and the reporting facilitates timely, appropriate, credible, and defensible interpretations and uses of those results by parents, educators, State officials, policymakers and oth</w:t>
            </w:r>
            <w:r>
              <w:rPr>
                <w:sz w:val="20"/>
              </w:rPr>
              <w:t>er stakeholders, and the public;</w:t>
            </w:r>
          </w:p>
          <w:p w14:paraId="4B6A687F" w14:textId="77777777" w:rsidR="004B0E92" w:rsidRPr="00B01EAB" w:rsidRDefault="004B0E92" w:rsidP="008D31CB">
            <w:pPr>
              <w:pStyle w:val="ListParagraph"/>
              <w:numPr>
                <w:ilvl w:val="1"/>
                <w:numId w:val="5"/>
              </w:numPr>
              <w:ind w:left="360"/>
              <w:contextualSpacing/>
              <w:rPr>
                <w:sz w:val="20"/>
                <w:szCs w:val="20"/>
              </w:rPr>
            </w:pPr>
            <w:r>
              <w:rPr>
                <w:sz w:val="20"/>
                <w:szCs w:val="20"/>
              </w:rPr>
              <w:t>Evidence that the State r</w:t>
            </w:r>
            <w:r w:rsidRPr="00B01EAB">
              <w:rPr>
                <w:sz w:val="20"/>
                <w:szCs w:val="20"/>
              </w:rPr>
              <w:t xml:space="preserve">eports the </w:t>
            </w:r>
            <w:r w:rsidRPr="008C6443">
              <w:rPr>
                <w:sz w:val="20"/>
                <w:szCs w:val="20"/>
              </w:rPr>
              <w:t>ELs’ English proficiency</w:t>
            </w:r>
            <w:r w:rsidRPr="00B01EAB">
              <w:rPr>
                <w:b/>
                <w:i/>
                <w:sz w:val="20"/>
                <w:szCs w:val="20"/>
              </w:rPr>
              <w:t xml:space="preserve"> </w:t>
            </w:r>
            <w:r w:rsidRPr="00B01EAB">
              <w:rPr>
                <w:sz w:val="20"/>
                <w:szCs w:val="20"/>
              </w:rPr>
              <w:t>in terms of the State’s grade level/grade-band ELP standards (including performance-level descriptors);</w:t>
            </w:r>
          </w:p>
          <w:p w14:paraId="4C37BF7B" w14:textId="77777777" w:rsidR="004B0E92" w:rsidRDefault="004B0E92" w:rsidP="008D31CB">
            <w:pPr>
              <w:numPr>
                <w:ilvl w:val="1"/>
                <w:numId w:val="5"/>
              </w:numPr>
              <w:ind w:left="360"/>
              <w:rPr>
                <w:sz w:val="20"/>
                <w:szCs w:val="20"/>
              </w:rPr>
            </w:pPr>
            <w:r w:rsidRPr="008C6443">
              <w:rPr>
                <w:sz w:val="20"/>
                <w:szCs w:val="20"/>
              </w:rPr>
              <w:t>Evidence that reports are provided in an understandable and uniform format and are, to the extent practicable, written in a language that parents and guardians c</w:t>
            </w:r>
            <w:r>
              <w:rPr>
                <w:sz w:val="20"/>
                <w:szCs w:val="20"/>
              </w:rPr>
              <w:t xml:space="preserve">an understand or, if it is not </w:t>
            </w:r>
            <w:r w:rsidRPr="008C6443">
              <w:rPr>
                <w:sz w:val="20"/>
                <w:szCs w:val="20"/>
              </w:rPr>
              <w:t>practicable to provide written translations to a parent or guardian with limited English proficiency, are orally translated for such parent or guardian;</w:t>
            </w:r>
          </w:p>
          <w:p w14:paraId="11B9A861" w14:textId="77777777" w:rsidR="004B0E92" w:rsidRPr="00532BBF" w:rsidRDefault="004B0E92" w:rsidP="008D31CB">
            <w:pPr>
              <w:numPr>
                <w:ilvl w:val="1"/>
                <w:numId w:val="5"/>
              </w:numPr>
              <w:ind w:left="360"/>
              <w:rPr>
                <w:sz w:val="20"/>
                <w:szCs w:val="20"/>
              </w:rPr>
            </w:pPr>
            <w:r>
              <w:rPr>
                <w:sz w:val="20"/>
                <w:szCs w:val="20"/>
              </w:rPr>
              <w:t>Ev</w:t>
            </w:r>
            <w:r w:rsidRPr="008C6443">
              <w:rPr>
                <w:sz w:val="20"/>
                <w:szCs w:val="20"/>
              </w:rPr>
              <w:t>idence that reports, upon request by a parent who is an individual with a disability as defined by the ADA, as amended, are provided in an alternative format accessible to that parent</w:t>
            </w:r>
          </w:p>
        </w:tc>
      </w:tr>
    </w:tbl>
    <w:p w14:paraId="53AAC7AD" w14:textId="77777777" w:rsidR="004B0E92" w:rsidRPr="008A4204" w:rsidRDefault="004B0E92" w:rsidP="004B0E92"/>
    <w:p w14:paraId="59BB1CB3" w14:textId="77777777" w:rsidR="004B0E92" w:rsidRPr="000D1CE4" w:rsidRDefault="004B0E92" w:rsidP="004B0E92">
      <w:pPr>
        <w:pStyle w:val="Heading1"/>
      </w:pPr>
      <w:bookmarkStart w:id="44" w:name="_Toc3354989"/>
      <w:r>
        <w:t>SECTION 7: DOES NOT APPLY TO ELP ASSESSMENT PEER REVIEW</w:t>
      </w:r>
      <w:bookmarkEnd w:id="44"/>
    </w:p>
    <w:p w14:paraId="7A48EB98" w14:textId="77777777" w:rsidR="004B0E92" w:rsidRDefault="004B0E92" w:rsidP="004B0E92"/>
    <w:p w14:paraId="73D108E2" w14:textId="6084818A" w:rsidR="00263A48" w:rsidRPr="0034465F" w:rsidRDefault="00263A48" w:rsidP="00263A48">
      <w:pPr>
        <w:rPr>
          <w:b/>
        </w:rPr>
      </w:pPr>
    </w:p>
    <w:sectPr w:rsidR="00263A48" w:rsidRPr="0034465F" w:rsidSect="00BC71BA">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CD28A" w14:textId="77777777" w:rsidR="008D31CB" w:rsidRDefault="008D31CB">
      <w:r>
        <w:separator/>
      </w:r>
    </w:p>
  </w:endnote>
  <w:endnote w:type="continuationSeparator" w:id="0">
    <w:p w14:paraId="6601B907" w14:textId="77777777" w:rsidR="008D31CB" w:rsidRDefault="008D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PMingLiU"/>
    <w:panose1 w:val="00000000000000000000"/>
    <w:charset w:val="88"/>
    <w:family w:val="auto"/>
    <w:notTrueType/>
    <w:pitch w:val="default"/>
    <w:sig w:usb0="00000000"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C411" w14:textId="77777777" w:rsidR="005C3E0B" w:rsidRDefault="005C3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43634"/>
      <w:docPartObj>
        <w:docPartGallery w:val="Page Numbers (Bottom of Page)"/>
        <w:docPartUnique/>
      </w:docPartObj>
    </w:sdtPr>
    <w:sdtEndPr>
      <w:rPr>
        <w:noProof/>
      </w:rPr>
    </w:sdtEndPr>
    <w:sdtContent>
      <w:p w14:paraId="2A402CAB" w14:textId="0AFB1E57" w:rsidR="005C0354" w:rsidRDefault="005C0354">
        <w:pPr>
          <w:pStyle w:val="Footer"/>
          <w:jc w:val="center"/>
        </w:pPr>
        <w:r>
          <w:fldChar w:fldCharType="begin"/>
        </w:r>
        <w:r>
          <w:instrText xml:space="preserve"> PAGE   \* MERGEFORMAT </w:instrText>
        </w:r>
        <w:r>
          <w:fldChar w:fldCharType="separate"/>
        </w:r>
        <w:r w:rsidR="00AD0B3C">
          <w:rPr>
            <w:noProof/>
          </w:rPr>
          <w:t>2</w:t>
        </w:r>
        <w:r>
          <w:rPr>
            <w:noProof/>
          </w:rPr>
          <w:fldChar w:fldCharType="end"/>
        </w:r>
      </w:p>
    </w:sdtContent>
  </w:sdt>
  <w:p w14:paraId="6DA312AA" w14:textId="77777777" w:rsidR="005C0354" w:rsidRDefault="005C0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18F4" w14:textId="14A10D74" w:rsidR="00AD0B3C" w:rsidRDefault="00AD0B3C">
    <w:pPr>
      <w:pStyle w:val="Footer"/>
      <w:jc w:val="center"/>
    </w:pPr>
  </w:p>
  <w:p w14:paraId="2E8E2CBF" w14:textId="77777777" w:rsidR="00AD0B3C" w:rsidRDefault="00AD0B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1120" w14:textId="4ADF4F92" w:rsidR="000C50E8" w:rsidRDefault="000C50E8">
    <w:pPr>
      <w:pStyle w:val="Footer"/>
      <w:jc w:val="center"/>
    </w:pPr>
  </w:p>
  <w:p w14:paraId="3D40DE73" w14:textId="6ABE0620" w:rsidR="00454B82" w:rsidRPr="0009367B" w:rsidRDefault="00454B82" w:rsidP="000670B3">
    <w:pPr>
      <w:pStyle w:val="Footer"/>
      <w:jc w:val="center"/>
      <w:rPr>
        <w:color w:val="000080"/>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0C63" w14:textId="77777777" w:rsidR="004B0E92" w:rsidRDefault="004B0E92" w:rsidP="00BC71BA">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50C20FED" w14:textId="77777777" w:rsidR="004B0E92" w:rsidRDefault="004B0E92" w:rsidP="00BC71BA">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46</w:t>
    </w:r>
    <w:r w:rsidRPr="00A16773">
      <w:rPr>
        <w:rFonts w:ascii="Garamond" w:hAnsi="Garamond"/>
        <w:noProof/>
        <w:sz w:val="22"/>
        <w:szCs w:val="22"/>
      </w:rPr>
      <w:fldChar w:fldCharType="end"/>
    </w:r>
  </w:p>
  <w:p w14:paraId="3FE9C865" w14:textId="77777777" w:rsidR="004B0E92" w:rsidRPr="004C1159" w:rsidRDefault="004B0E92" w:rsidP="00BC71BA">
    <w:pPr>
      <w:pStyle w:val="Foote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8A93" w14:textId="77777777" w:rsidR="004B0E92" w:rsidRPr="004C1159" w:rsidRDefault="004B0E92">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73D8D7DB" w14:textId="77777777" w:rsidR="004B0E92" w:rsidRDefault="004B0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C6A04" w14:textId="77777777" w:rsidR="008D31CB" w:rsidRDefault="008D31CB">
      <w:r>
        <w:separator/>
      </w:r>
    </w:p>
  </w:footnote>
  <w:footnote w:type="continuationSeparator" w:id="0">
    <w:p w14:paraId="2C19B4D6" w14:textId="77777777" w:rsidR="008D31CB" w:rsidRDefault="008D31CB">
      <w:r>
        <w:continuationSeparator/>
      </w:r>
    </w:p>
  </w:footnote>
  <w:footnote w:id="1">
    <w:p w14:paraId="5A832DFD" w14:textId="77777777" w:rsidR="004B0E92" w:rsidRDefault="004B0E92" w:rsidP="004B0E92">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758821D7" w14:textId="77777777" w:rsidR="004B0E92" w:rsidRDefault="004B0E92" w:rsidP="004B0E92">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02873AA2" w14:textId="77777777" w:rsidR="004B0E92" w:rsidRDefault="004B0E92" w:rsidP="004B0E92">
      <w:pPr>
        <w:pStyle w:val="FootnoteText"/>
      </w:pPr>
    </w:p>
  </w:footnote>
  <w:footnote w:id="3">
    <w:p w14:paraId="18E10057" w14:textId="77777777" w:rsidR="004B0E92" w:rsidRDefault="004B0E92" w:rsidP="004B0E92">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0AD6D8E3" w14:textId="77777777" w:rsidR="004B0E92" w:rsidRDefault="004B0E92" w:rsidP="004B0E92">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B8D9" w14:textId="77777777" w:rsidR="005C3E0B" w:rsidRDefault="005C3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74FA" w14:textId="77777777" w:rsidR="005C3E0B" w:rsidRDefault="005C3E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DEF3" w14:textId="77777777" w:rsidR="00C55218" w:rsidRDefault="00C55218" w:rsidP="00684C64"/>
  <w:p w14:paraId="7FA9F068" w14:textId="45986287" w:rsidR="00C55218" w:rsidRPr="00684C64" w:rsidRDefault="00C55218" w:rsidP="00117968">
    <w:r>
      <w:t xml:space="preserve">Page </w:t>
    </w:r>
    <w:r>
      <w:fldChar w:fldCharType="begin"/>
    </w:r>
    <w:r>
      <w:instrText xml:space="preserve"> PAGE   \* MERGEFORMAT </w:instrText>
    </w:r>
    <w:r>
      <w:fldChar w:fldCharType="separate"/>
    </w:r>
    <w:r w:rsidR="00955F1F">
      <w:rPr>
        <w:noProof/>
      </w:rPr>
      <w:t>2</w:t>
    </w:r>
    <w:r>
      <w:rPr>
        <w:noProof/>
      </w:rPr>
      <w:fldChar w:fldCharType="end"/>
    </w:r>
    <w:r>
      <w:t xml:space="preserve"> – The Honorable </w:t>
    </w:r>
    <w:r w:rsidR="00A05F67">
      <w:t>Carey M. Wright</w:t>
    </w:r>
  </w:p>
  <w:p w14:paraId="6FFB0931" w14:textId="77777777" w:rsidR="005D35EF" w:rsidRDefault="005D35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280B" w14:textId="50067D33" w:rsidR="0050781A" w:rsidRDefault="0050781A">
    <w:pPr>
      <w:pStyle w:val="Header"/>
    </w:pPr>
    <w:r>
      <w:t xml:space="preserve">Page </w:t>
    </w:r>
    <w:r w:rsidR="00924CF6">
      <w:t>3</w:t>
    </w:r>
    <w:r>
      <w:t xml:space="preserve"> – </w:t>
    </w:r>
    <w:r w:rsidR="00924CF6">
      <w:t>The Honorable Car</w:t>
    </w:r>
    <w:r w:rsidR="005C3E0B">
      <w:t>e</w:t>
    </w:r>
    <w:r w:rsidR="00924CF6">
      <w:t>y M. Wright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5578" w14:textId="01D396BB" w:rsidR="00FA2CF7" w:rsidRDefault="00D8063B" w:rsidP="00684C64">
    <w:r>
      <w:t xml:space="preserve">Page </w:t>
    </w:r>
    <w:r>
      <w:fldChar w:fldCharType="begin"/>
    </w:r>
    <w:r>
      <w:instrText xml:space="preserve"> PAGE   \* MERGEFORMAT </w:instrText>
    </w:r>
    <w:r>
      <w:fldChar w:fldCharType="separate"/>
    </w:r>
    <w:r w:rsidR="00454B82">
      <w:rPr>
        <w:noProof/>
      </w:rPr>
      <w:t>5</w:t>
    </w:r>
    <w:r>
      <w:rPr>
        <w:noProof/>
      </w:rPr>
      <w:fldChar w:fldCharType="end"/>
    </w:r>
    <w:r>
      <w:t xml:space="preserve"> – The Honorable </w:t>
    </w:r>
    <w:r w:rsidR="004E0D61">
      <w:t>Car</w:t>
    </w:r>
    <w:r w:rsidR="005C3E0B">
      <w:t>e</w:t>
    </w:r>
    <w:r w:rsidR="004E0D61">
      <w:t>y M. Wright</w:t>
    </w:r>
  </w:p>
  <w:p w14:paraId="73DC0B28" w14:textId="77777777" w:rsidR="00FA2CF7" w:rsidRDefault="00FA2CF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7119" w14:textId="77777777" w:rsidR="004B0E92" w:rsidRDefault="00E87626">
    <w:pPr>
      <w:pStyle w:val="Header"/>
    </w:pPr>
    <w:r>
      <w:rPr>
        <w:noProof/>
      </w:rPr>
      <w:pict w14:anchorId="6F4B27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8752;mso-position-horizontal:center;mso-position-horizontal-relative:margin;mso-position-vertical:center;mso-position-vertical-relative:margin" o:allowincell="f" fillcolor="black" stroked="f">
          <v:textpath style="font-family:&quot;Times New Roman&quot;;font-size:1pt" string="Ed Staff Review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4BDD" w14:textId="77777777" w:rsidR="004B0E92" w:rsidRPr="00A16773" w:rsidRDefault="004B0E92" w:rsidP="00BC71BA">
    <w:pPr>
      <w:jc w:val="center"/>
      <w:rPr>
        <w:rFonts w:ascii="Garamond" w:hAnsi="Garamond"/>
        <w:b/>
      </w:rPr>
    </w:pPr>
    <w:r>
      <w:rPr>
        <w:rFonts w:ascii="Garamond" w:hAnsi="Garamond"/>
        <w:b/>
      </w:rPr>
      <w:t>STATE ASSESSMENT PEER REVIEW NOTES FOR Mississippi</w:t>
    </w:r>
  </w:p>
  <w:p w14:paraId="3FA613E9" w14:textId="77777777" w:rsidR="004B0E92" w:rsidRDefault="004B0E9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A1C7" w14:textId="77777777" w:rsidR="004B0E92" w:rsidRPr="004C1159" w:rsidRDefault="004B0E92" w:rsidP="00BC71BA">
    <w:pPr>
      <w:jc w:val="center"/>
      <w:rPr>
        <w:rFonts w:ascii="Garamond" w:hAnsi="Garamond"/>
        <w:b/>
      </w:rPr>
    </w:pPr>
    <w:r>
      <w:rPr>
        <w:rFonts w:ascii="Garamond" w:hAnsi="Garamond"/>
        <w:b/>
      </w:rPr>
      <w:t>STATE ASSESSMENT PEER REVIEW NOTES FOR Mississippi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34AC2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07C09"/>
    <w:multiLevelType w:val="hybridMultilevel"/>
    <w:tmpl w:val="86D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3505"/>
    <w:multiLevelType w:val="hybridMultilevel"/>
    <w:tmpl w:val="9280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FF2D90"/>
    <w:multiLevelType w:val="hybridMultilevel"/>
    <w:tmpl w:val="7D04877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96F5D"/>
    <w:multiLevelType w:val="hybridMultilevel"/>
    <w:tmpl w:val="D2AEE0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C047F86"/>
    <w:multiLevelType w:val="hybridMultilevel"/>
    <w:tmpl w:val="5E3A644E"/>
    <w:lvl w:ilvl="0" w:tplc="7F44B9EA">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2C4A4BBA"/>
    <w:multiLevelType w:val="hybridMultilevel"/>
    <w:tmpl w:val="49B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B7739C"/>
    <w:multiLevelType w:val="hybridMultilevel"/>
    <w:tmpl w:val="F33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94810"/>
    <w:multiLevelType w:val="hybridMultilevel"/>
    <w:tmpl w:val="9C50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02FE4"/>
    <w:multiLevelType w:val="hybridMultilevel"/>
    <w:tmpl w:val="A45CEC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Courier New"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Courier New"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Courier New" w:hint="default"/>
      </w:rPr>
    </w:lvl>
    <w:lvl w:ilvl="8" w:tplc="04090005">
      <w:start w:val="1"/>
      <w:numFmt w:val="bullet"/>
      <w:lvlText w:val=""/>
      <w:lvlJc w:val="left"/>
      <w:pPr>
        <w:ind w:left="6955" w:hanging="360"/>
      </w:pPr>
      <w:rPr>
        <w:rFonts w:ascii="Wingdings" w:hAnsi="Wingdings" w:hint="default"/>
      </w:rPr>
    </w:lvl>
  </w:abstractNum>
  <w:abstractNum w:abstractNumId="21"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744F45"/>
    <w:multiLevelType w:val="hybridMultilevel"/>
    <w:tmpl w:val="B3C4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3561A"/>
    <w:multiLevelType w:val="hybridMultilevel"/>
    <w:tmpl w:val="D032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2E2BD6"/>
    <w:multiLevelType w:val="hybridMultilevel"/>
    <w:tmpl w:val="F4C6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3E0D65"/>
    <w:multiLevelType w:val="hybridMultilevel"/>
    <w:tmpl w:val="1DB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9"/>
  </w:num>
  <w:num w:numId="4">
    <w:abstractNumId w:val="15"/>
  </w:num>
  <w:num w:numId="5">
    <w:abstractNumId w:val="1"/>
  </w:num>
  <w:num w:numId="6">
    <w:abstractNumId w:val="7"/>
  </w:num>
  <w:num w:numId="7">
    <w:abstractNumId w:val="21"/>
  </w:num>
  <w:num w:numId="8">
    <w:abstractNumId w:val="8"/>
  </w:num>
  <w:num w:numId="9">
    <w:abstractNumId w:val="2"/>
  </w:num>
  <w:num w:numId="10">
    <w:abstractNumId w:val="33"/>
  </w:num>
  <w:num w:numId="11">
    <w:abstractNumId w:val="22"/>
  </w:num>
  <w:num w:numId="12">
    <w:abstractNumId w:val="30"/>
  </w:num>
  <w:num w:numId="13">
    <w:abstractNumId w:val="31"/>
  </w:num>
  <w:num w:numId="14">
    <w:abstractNumId w:val="6"/>
  </w:num>
  <w:num w:numId="15">
    <w:abstractNumId w:val="27"/>
  </w:num>
  <w:num w:numId="16">
    <w:abstractNumId w:val="23"/>
  </w:num>
  <w:num w:numId="17">
    <w:abstractNumId w:val="12"/>
  </w:num>
  <w:num w:numId="18">
    <w:abstractNumId w:val="29"/>
  </w:num>
  <w:num w:numId="19">
    <w:abstractNumId w:val="20"/>
  </w:num>
  <w:num w:numId="20">
    <w:abstractNumId w:val="10"/>
  </w:num>
  <w:num w:numId="21">
    <w:abstractNumId w:val="13"/>
  </w:num>
  <w:num w:numId="22">
    <w:abstractNumId w:val="16"/>
  </w:num>
  <w:num w:numId="23">
    <w:abstractNumId w:val="0"/>
  </w:num>
  <w:num w:numId="24">
    <w:abstractNumId w:val="32"/>
  </w:num>
  <w:num w:numId="25">
    <w:abstractNumId w:val="4"/>
  </w:num>
  <w:num w:numId="26">
    <w:abstractNumId w:val="19"/>
  </w:num>
  <w:num w:numId="27">
    <w:abstractNumId w:val="25"/>
  </w:num>
  <w:num w:numId="28">
    <w:abstractNumId w:val="26"/>
  </w:num>
  <w:num w:numId="29">
    <w:abstractNumId w:val="3"/>
  </w:num>
  <w:num w:numId="30">
    <w:abstractNumId w:val="18"/>
  </w:num>
  <w:num w:numId="31">
    <w:abstractNumId w:val="14"/>
  </w:num>
  <w:num w:numId="32">
    <w:abstractNumId w:val="17"/>
  </w:num>
  <w:num w:numId="33">
    <w:abstractNumId w:val="28"/>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D"/>
    <w:rsid w:val="00000117"/>
    <w:rsid w:val="00010EA5"/>
    <w:rsid w:val="00010FEB"/>
    <w:rsid w:val="0001783D"/>
    <w:rsid w:val="000232EC"/>
    <w:rsid w:val="00026864"/>
    <w:rsid w:val="00032A07"/>
    <w:rsid w:val="000342BE"/>
    <w:rsid w:val="00041F73"/>
    <w:rsid w:val="00043203"/>
    <w:rsid w:val="00043FF6"/>
    <w:rsid w:val="00044FB6"/>
    <w:rsid w:val="00045970"/>
    <w:rsid w:val="000463A6"/>
    <w:rsid w:val="000471A3"/>
    <w:rsid w:val="00052267"/>
    <w:rsid w:val="00054055"/>
    <w:rsid w:val="00055EB2"/>
    <w:rsid w:val="00062BD1"/>
    <w:rsid w:val="000631B2"/>
    <w:rsid w:val="00063C80"/>
    <w:rsid w:val="000661A2"/>
    <w:rsid w:val="000670B3"/>
    <w:rsid w:val="000675CA"/>
    <w:rsid w:val="00072627"/>
    <w:rsid w:val="00073EA5"/>
    <w:rsid w:val="0007556E"/>
    <w:rsid w:val="00075D09"/>
    <w:rsid w:val="00076718"/>
    <w:rsid w:val="00076771"/>
    <w:rsid w:val="0008326A"/>
    <w:rsid w:val="00084F94"/>
    <w:rsid w:val="00086F88"/>
    <w:rsid w:val="00090241"/>
    <w:rsid w:val="00094678"/>
    <w:rsid w:val="00094E00"/>
    <w:rsid w:val="000A00B9"/>
    <w:rsid w:val="000A13CD"/>
    <w:rsid w:val="000A1DEB"/>
    <w:rsid w:val="000A65CC"/>
    <w:rsid w:val="000A7E74"/>
    <w:rsid w:val="000A7F25"/>
    <w:rsid w:val="000B175D"/>
    <w:rsid w:val="000B6190"/>
    <w:rsid w:val="000B7EBA"/>
    <w:rsid w:val="000C0066"/>
    <w:rsid w:val="000C4E27"/>
    <w:rsid w:val="000C50E8"/>
    <w:rsid w:val="000C543B"/>
    <w:rsid w:val="000C62A7"/>
    <w:rsid w:val="000C751B"/>
    <w:rsid w:val="000D04DE"/>
    <w:rsid w:val="000D05C6"/>
    <w:rsid w:val="000D232D"/>
    <w:rsid w:val="000D264E"/>
    <w:rsid w:val="000D6439"/>
    <w:rsid w:val="000D6B02"/>
    <w:rsid w:val="000E28DB"/>
    <w:rsid w:val="000E630E"/>
    <w:rsid w:val="000F45EE"/>
    <w:rsid w:val="000F61CB"/>
    <w:rsid w:val="00101478"/>
    <w:rsid w:val="00102B81"/>
    <w:rsid w:val="001057D6"/>
    <w:rsid w:val="001069FE"/>
    <w:rsid w:val="00106AD5"/>
    <w:rsid w:val="00107F61"/>
    <w:rsid w:val="00110164"/>
    <w:rsid w:val="0011336D"/>
    <w:rsid w:val="0011682A"/>
    <w:rsid w:val="00117942"/>
    <w:rsid w:val="00117968"/>
    <w:rsid w:val="001221D2"/>
    <w:rsid w:val="00130C18"/>
    <w:rsid w:val="00131ABB"/>
    <w:rsid w:val="00134838"/>
    <w:rsid w:val="00137043"/>
    <w:rsid w:val="00142DB4"/>
    <w:rsid w:val="00147109"/>
    <w:rsid w:val="001516A6"/>
    <w:rsid w:val="00153A48"/>
    <w:rsid w:val="00155785"/>
    <w:rsid w:val="00160147"/>
    <w:rsid w:val="001606A6"/>
    <w:rsid w:val="00161B7A"/>
    <w:rsid w:val="00163179"/>
    <w:rsid w:val="001648B8"/>
    <w:rsid w:val="00166F35"/>
    <w:rsid w:val="001670A8"/>
    <w:rsid w:val="00167692"/>
    <w:rsid w:val="00171ECB"/>
    <w:rsid w:val="00172EBD"/>
    <w:rsid w:val="0017520C"/>
    <w:rsid w:val="001822F7"/>
    <w:rsid w:val="00182A7D"/>
    <w:rsid w:val="00182E3C"/>
    <w:rsid w:val="0018503F"/>
    <w:rsid w:val="00185D40"/>
    <w:rsid w:val="00187A19"/>
    <w:rsid w:val="0019189C"/>
    <w:rsid w:val="00193DEA"/>
    <w:rsid w:val="001A1E3D"/>
    <w:rsid w:val="001A4A37"/>
    <w:rsid w:val="001A7778"/>
    <w:rsid w:val="001B4393"/>
    <w:rsid w:val="001B5615"/>
    <w:rsid w:val="001B733F"/>
    <w:rsid w:val="001C0184"/>
    <w:rsid w:val="001C54EC"/>
    <w:rsid w:val="001C711E"/>
    <w:rsid w:val="001D01B7"/>
    <w:rsid w:val="001D15B6"/>
    <w:rsid w:val="001D1F45"/>
    <w:rsid w:val="001D4D70"/>
    <w:rsid w:val="001D7138"/>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35977"/>
    <w:rsid w:val="00240499"/>
    <w:rsid w:val="00241500"/>
    <w:rsid w:val="00242B07"/>
    <w:rsid w:val="00243760"/>
    <w:rsid w:val="00244316"/>
    <w:rsid w:val="00247ABA"/>
    <w:rsid w:val="00250C8E"/>
    <w:rsid w:val="002539AA"/>
    <w:rsid w:val="00257A15"/>
    <w:rsid w:val="00257A97"/>
    <w:rsid w:val="00262928"/>
    <w:rsid w:val="00263A48"/>
    <w:rsid w:val="00265ED2"/>
    <w:rsid w:val="00267945"/>
    <w:rsid w:val="00272477"/>
    <w:rsid w:val="0027396A"/>
    <w:rsid w:val="00273F7D"/>
    <w:rsid w:val="002752DC"/>
    <w:rsid w:val="002762AD"/>
    <w:rsid w:val="00280E8A"/>
    <w:rsid w:val="002831E5"/>
    <w:rsid w:val="00287B65"/>
    <w:rsid w:val="0029688C"/>
    <w:rsid w:val="00296CC5"/>
    <w:rsid w:val="002974FD"/>
    <w:rsid w:val="00297AA8"/>
    <w:rsid w:val="002A2345"/>
    <w:rsid w:val="002A799F"/>
    <w:rsid w:val="002B1F50"/>
    <w:rsid w:val="002B368F"/>
    <w:rsid w:val="002B3EDA"/>
    <w:rsid w:val="002B625B"/>
    <w:rsid w:val="002B6B27"/>
    <w:rsid w:val="002B7D38"/>
    <w:rsid w:val="002C2628"/>
    <w:rsid w:val="002C36F5"/>
    <w:rsid w:val="002C3BD5"/>
    <w:rsid w:val="002C6AA7"/>
    <w:rsid w:val="002D0038"/>
    <w:rsid w:val="002D1B86"/>
    <w:rsid w:val="002D23B6"/>
    <w:rsid w:val="002D4CA2"/>
    <w:rsid w:val="002D4DC4"/>
    <w:rsid w:val="002E1A8B"/>
    <w:rsid w:val="002E27D2"/>
    <w:rsid w:val="002E4A17"/>
    <w:rsid w:val="002F13DA"/>
    <w:rsid w:val="002F2826"/>
    <w:rsid w:val="002F2F10"/>
    <w:rsid w:val="002F3E2B"/>
    <w:rsid w:val="002F4BB8"/>
    <w:rsid w:val="003013C9"/>
    <w:rsid w:val="003018FB"/>
    <w:rsid w:val="0030440B"/>
    <w:rsid w:val="00304B9B"/>
    <w:rsid w:val="003056BE"/>
    <w:rsid w:val="00307B44"/>
    <w:rsid w:val="00310216"/>
    <w:rsid w:val="003139C0"/>
    <w:rsid w:val="00314115"/>
    <w:rsid w:val="00315039"/>
    <w:rsid w:val="0032089B"/>
    <w:rsid w:val="00326E5C"/>
    <w:rsid w:val="0032725E"/>
    <w:rsid w:val="00330A70"/>
    <w:rsid w:val="003376A8"/>
    <w:rsid w:val="0034000B"/>
    <w:rsid w:val="0034465F"/>
    <w:rsid w:val="00350308"/>
    <w:rsid w:val="00350F27"/>
    <w:rsid w:val="003518A3"/>
    <w:rsid w:val="003544EF"/>
    <w:rsid w:val="00354F8A"/>
    <w:rsid w:val="003607EB"/>
    <w:rsid w:val="00364337"/>
    <w:rsid w:val="003650C8"/>
    <w:rsid w:val="003658FF"/>
    <w:rsid w:val="00367CF6"/>
    <w:rsid w:val="00372082"/>
    <w:rsid w:val="00372EA2"/>
    <w:rsid w:val="0037357B"/>
    <w:rsid w:val="00374FB1"/>
    <w:rsid w:val="00376BA5"/>
    <w:rsid w:val="0037757F"/>
    <w:rsid w:val="00377A1E"/>
    <w:rsid w:val="00377A50"/>
    <w:rsid w:val="00380135"/>
    <w:rsid w:val="003807F3"/>
    <w:rsid w:val="003808FA"/>
    <w:rsid w:val="00382471"/>
    <w:rsid w:val="00382693"/>
    <w:rsid w:val="003871D6"/>
    <w:rsid w:val="003926E9"/>
    <w:rsid w:val="00392BAB"/>
    <w:rsid w:val="00396DB4"/>
    <w:rsid w:val="003979B9"/>
    <w:rsid w:val="003A5544"/>
    <w:rsid w:val="003A5968"/>
    <w:rsid w:val="003A625A"/>
    <w:rsid w:val="003B3111"/>
    <w:rsid w:val="003B57ED"/>
    <w:rsid w:val="003C0444"/>
    <w:rsid w:val="003C0BAB"/>
    <w:rsid w:val="003C27AE"/>
    <w:rsid w:val="003C41A0"/>
    <w:rsid w:val="003D10C9"/>
    <w:rsid w:val="003D1DEA"/>
    <w:rsid w:val="003D33F8"/>
    <w:rsid w:val="003D4569"/>
    <w:rsid w:val="003D52A4"/>
    <w:rsid w:val="003E1EF4"/>
    <w:rsid w:val="003E37A9"/>
    <w:rsid w:val="003F01AC"/>
    <w:rsid w:val="003F08D5"/>
    <w:rsid w:val="003F1618"/>
    <w:rsid w:val="003F5148"/>
    <w:rsid w:val="003F68B2"/>
    <w:rsid w:val="003F68BB"/>
    <w:rsid w:val="003F7CA7"/>
    <w:rsid w:val="003F7DF9"/>
    <w:rsid w:val="00400236"/>
    <w:rsid w:val="00403656"/>
    <w:rsid w:val="00407573"/>
    <w:rsid w:val="004104CA"/>
    <w:rsid w:val="004123FB"/>
    <w:rsid w:val="00414030"/>
    <w:rsid w:val="004144CD"/>
    <w:rsid w:val="0041574E"/>
    <w:rsid w:val="00417042"/>
    <w:rsid w:val="00417E16"/>
    <w:rsid w:val="00424B37"/>
    <w:rsid w:val="00424D79"/>
    <w:rsid w:val="004252C9"/>
    <w:rsid w:val="00432A31"/>
    <w:rsid w:val="00432AE5"/>
    <w:rsid w:val="00433671"/>
    <w:rsid w:val="00433B9D"/>
    <w:rsid w:val="004354CC"/>
    <w:rsid w:val="00441544"/>
    <w:rsid w:val="00443B56"/>
    <w:rsid w:val="00443E60"/>
    <w:rsid w:val="00444AD1"/>
    <w:rsid w:val="00445022"/>
    <w:rsid w:val="004456AB"/>
    <w:rsid w:val="00454B82"/>
    <w:rsid w:val="00456046"/>
    <w:rsid w:val="00457E03"/>
    <w:rsid w:val="0046281C"/>
    <w:rsid w:val="00466929"/>
    <w:rsid w:val="0047154F"/>
    <w:rsid w:val="00472D07"/>
    <w:rsid w:val="00477892"/>
    <w:rsid w:val="0048081A"/>
    <w:rsid w:val="0048786F"/>
    <w:rsid w:val="00490838"/>
    <w:rsid w:val="004909CB"/>
    <w:rsid w:val="00490E21"/>
    <w:rsid w:val="00493E6D"/>
    <w:rsid w:val="004973F8"/>
    <w:rsid w:val="004A2DDA"/>
    <w:rsid w:val="004A3353"/>
    <w:rsid w:val="004B0E92"/>
    <w:rsid w:val="004B7A1E"/>
    <w:rsid w:val="004C15AF"/>
    <w:rsid w:val="004C1CA9"/>
    <w:rsid w:val="004C1E65"/>
    <w:rsid w:val="004C4977"/>
    <w:rsid w:val="004C4BCD"/>
    <w:rsid w:val="004C5F32"/>
    <w:rsid w:val="004D1A19"/>
    <w:rsid w:val="004D27B1"/>
    <w:rsid w:val="004D3AB6"/>
    <w:rsid w:val="004D40CC"/>
    <w:rsid w:val="004D5DDB"/>
    <w:rsid w:val="004D604A"/>
    <w:rsid w:val="004E019C"/>
    <w:rsid w:val="004E0732"/>
    <w:rsid w:val="004E0D61"/>
    <w:rsid w:val="004E363B"/>
    <w:rsid w:val="004E5605"/>
    <w:rsid w:val="004E7B1D"/>
    <w:rsid w:val="004F1B57"/>
    <w:rsid w:val="004F2103"/>
    <w:rsid w:val="004F31EE"/>
    <w:rsid w:val="004F3B4F"/>
    <w:rsid w:val="004F4946"/>
    <w:rsid w:val="004F5B60"/>
    <w:rsid w:val="004F7312"/>
    <w:rsid w:val="004F7B18"/>
    <w:rsid w:val="0050012A"/>
    <w:rsid w:val="0050353E"/>
    <w:rsid w:val="00504A4A"/>
    <w:rsid w:val="005061AC"/>
    <w:rsid w:val="0050781A"/>
    <w:rsid w:val="00510D87"/>
    <w:rsid w:val="00515AA6"/>
    <w:rsid w:val="0051636B"/>
    <w:rsid w:val="00521164"/>
    <w:rsid w:val="005269EE"/>
    <w:rsid w:val="00527D17"/>
    <w:rsid w:val="00546F29"/>
    <w:rsid w:val="00547592"/>
    <w:rsid w:val="0055262F"/>
    <w:rsid w:val="00553648"/>
    <w:rsid w:val="00556B84"/>
    <w:rsid w:val="0055702D"/>
    <w:rsid w:val="005605AA"/>
    <w:rsid w:val="00565E54"/>
    <w:rsid w:val="00572DE9"/>
    <w:rsid w:val="00574AA6"/>
    <w:rsid w:val="00575D1A"/>
    <w:rsid w:val="005761E1"/>
    <w:rsid w:val="0057701A"/>
    <w:rsid w:val="00577578"/>
    <w:rsid w:val="00581BCD"/>
    <w:rsid w:val="00583772"/>
    <w:rsid w:val="00584406"/>
    <w:rsid w:val="00596A61"/>
    <w:rsid w:val="005A299F"/>
    <w:rsid w:val="005A3DB3"/>
    <w:rsid w:val="005A5380"/>
    <w:rsid w:val="005A62F9"/>
    <w:rsid w:val="005B0EAA"/>
    <w:rsid w:val="005B14F1"/>
    <w:rsid w:val="005B35B0"/>
    <w:rsid w:val="005B61BF"/>
    <w:rsid w:val="005C0354"/>
    <w:rsid w:val="005C041D"/>
    <w:rsid w:val="005C19C2"/>
    <w:rsid w:val="005C3E0B"/>
    <w:rsid w:val="005C4208"/>
    <w:rsid w:val="005C4D81"/>
    <w:rsid w:val="005C59D8"/>
    <w:rsid w:val="005C6B4E"/>
    <w:rsid w:val="005C6CF6"/>
    <w:rsid w:val="005D0453"/>
    <w:rsid w:val="005D35EF"/>
    <w:rsid w:val="005E068F"/>
    <w:rsid w:val="005E08F4"/>
    <w:rsid w:val="005E3708"/>
    <w:rsid w:val="005E4911"/>
    <w:rsid w:val="005E5D4F"/>
    <w:rsid w:val="005E6A69"/>
    <w:rsid w:val="005E6FD5"/>
    <w:rsid w:val="005F1901"/>
    <w:rsid w:val="005F291F"/>
    <w:rsid w:val="005F7845"/>
    <w:rsid w:val="006011FD"/>
    <w:rsid w:val="0060317F"/>
    <w:rsid w:val="0060441C"/>
    <w:rsid w:val="00604507"/>
    <w:rsid w:val="006058D4"/>
    <w:rsid w:val="00605DD8"/>
    <w:rsid w:val="00605FCC"/>
    <w:rsid w:val="00610369"/>
    <w:rsid w:val="00610555"/>
    <w:rsid w:val="006107D4"/>
    <w:rsid w:val="006116EF"/>
    <w:rsid w:val="00613F86"/>
    <w:rsid w:val="006168A6"/>
    <w:rsid w:val="00616942"/>
    <w:rsid w:val="00616DA7"/>
    <w:rsid w:val="00617B43"/>
    <w:rsid w:val="006201D7"/>
    <w:rsid w:val="00621C0F"/>
    <w:rsid w:val="00622065"/>
    <w:rsid w:val="00625091"/>
    <w:rsid w:val="0062594A"/>
    <w:rsid w:val="00626BBC"/>
    <w:rsid w:val="00634314"/>
    <w:rsid w:val="00635BDC"/>
    <w:rsid w:val="006424FB"/>
    <w:rsid w:val="00642680"/>
    <w:rsid w:val="00643CE4"/>
    <w:rsid w:val="00651B72"/>
    <w:rsid w:val="0065472D"/>
    <w:rsid w:val="00661C43"/>
    <w:rsid w:val="00673A32"/>
    <w:rsid w:val="006748AA"/>
    <w:rsid w:val="006751AE"/>
    <w:rsid w:val="00675DA5"/>
    <w:rsid w:val="0068034C"/>
    <w:rsid w:val="00680C55"/>
    <w:rsid w:val="00684C64"/>
    <w:rsid w:val="00685330"/>
    <w:rsid w:val="006861AF"/>
    <w:rsid w:val="0069024C"/>
    <w:rsid w:val="00691F52"/>
    <w:rsid w:val="006963A9"/>
    <w:rsid w:val="00697789"/>
    <w:rsid w:val="006A0C42"/>
    <w:rsid w:val="006A10A9"/>
    <w:rsid w:val="006A24B1"/>
    <w:rsid w:val="006A2655"/>
    <w:rsid w:val="006A7361"/>
    <w:rsid w:val="006B048C"/>
    <w:rsid w:val="006B27CC"/>
    <w:rsid w:val="006B3F25"/>
    <w:rsid w:val="006B5FE1"/>
    <w:rsid w:val="006B6854"/>
    <w:rsid w:val="006C25A2"/>
    <w:rsid w:val="006C48D1"/>
    <w:rsid w:val="006C58A2"/>
    <w:rsid w:val="006C5E02"/>
    <w:rsid w:val="006D03F1"/>
    <w:rsid w:val="006D0C1F"/>
    <w:rsid w:val="006D1F10"/>
    <w:rsid w:val="006D5A97"/>
    <w:rsid w:val="006E212B"/>
    <w:rsid w:val="006E3107"/>
    <w:rsid w:val="006E414D"/>
    <w:rsid w:val="006E64A0"/>
    <w:rsid w:val="006E7597"/>
    <w:rsid w:val="006F17F3"/>
    <w:rsid w:val="006F27EA"/>
    <w:rsid w:val="006F455E"/>
    <w:rsid w:val="006F65A3"/>
    <w:rsid w:val="006F72BF"/>
    <w:rsid w:val="00700A37"/>
    <w:rsid w:val="00700F17"/>
    <w:rsid w:val="007031E6"/>
    <w:rsid w:val="00705101"/>
    <w:rsid w:val="00706E1E"/>
    <w:rsid w:val="00707C0E"/>
    <w:rsid w:val="00712515"/>
    <w:rsid w:val="00715DF2"/>
    <w:rsid w:val="00716649"/>
    <w:rsid w:val="0072405D"/>
    <w:rsid w:val="0072511E"/>
    <w:rsid w:val="0072686E"/>
    <w:rsid w:val="00734A51"/>
    <w:rsid w:val="00734C0D"/>
    <w:rsid w:val="007353FD"/>
    <w:rsid w:val="007370A1"/>
    <w:rsid w:val="007414AA"/>
    <w:rsid w:val="007419D0"/>
    <w:rsid w:val="0074254D"/>
    <w:rsid w:val="00743AD0"/>
    <w:rsid w:val="00752DC2"/>
    <w:rsid w:val="007535BB"/>
    <w:rsid w:val="0075509C"/>
    <w:rsid w:val="00757419"/>
    <w:rsid w:val="007607AF"/>
    <w:rsid w:val="00767B70"/>
    <w:rsid w:val="00767F99"/>
    <w:rsid w:val="00770355"/>
    <w:rsid w:val="00770596"/>
    <w:rsid w:val="0077544A"/>
    <w:rsid w:val="0077675B"/>
    <w:rsid w:val="0077685D"/>
    <w:rsid w:val="00776FD2"/>
    <w:rsid w:val="007818F4"/>
    <w:rsid w:val="00783941"/>
    <w:rsid w:val="00784AD2"/>
    <w:rsid w:val="0078678E"/>
    <w:rsid w:val="0079246D"/>
    <w:rsid w:val="00792A5C"/>
    <w:rsid w:val="00794FC3"/>
    <w:rsid w:val="00796750"/>
    <w:rsid w:val="00796C0F"/>
    <w:rsid w:val="00797809"/>
    <w:rsid w:val="007A388A"/>
    <w:rsid w:val="007A79F5"/>
    <w:rsid w:val="007B05E7"/>
    <w:rsid w:val="007B34EC"/>
    <w:rsid w:val="007B3E82"/>
    <w:rsid w:val="007B515E"/>
    <w:rsid w:val="007B5F00"/>
    <w:rsid w:val="007B63DA"/>
    <w:rsid w:val="007C6566"/>
    <w:rsid w:val="007D0038"/>
    <w:rsid w:val="007D5831"/>
    <w:rsid w:val="007D5C68"/>
    <w:rsid w:val="007E1220"/>
    <w:rsid w:val="007E2AD8"/>
    <w:rsid w:val="007E412F"/>
    <w:rsid w:val="0080148B"/>
    <w:rsid w:val="008014C5"/>
    <w:rsid w:val="00802743"/>
    <w:rsid w:val="008038FF"/>
    <w:rsid w:val="008041FE"/>
    <w:rsid w:val="008055AD"/>
    <w:rsid w:val="00805CA2"/>
    <w:rsid w:val="00807BBE"/>
    <w:rsid w:val="00810320"/>
    <w:rsid w:val="00810565"/>
    <w:rsid w:val="008116FA"/>
    <w:rsid w:val="0081231C"/>
    <w:rsid w:val="0081429E"/>
    <w:rsid w:val="00814301"/>
    <w:rsid w:val="00814A02"/>
    <w:rsid w:val="008267C0"/>
    <w:rsid w:val="0083158D"/>
    <w:rsid w:val="008349A1"/>
    <w:rsid w:val="00835AC0"/>
    <w:rsid w:val="00841819"/>
    <w:rsid w:val="00843328"/>
    <w:rsid w:val="008459F2"/>
    <w:rsid w:val="00850036"/>
    <w:rsid w:val="00850A37"/>
    <w:rsid w:val="0085616D"/>
    <w:rsid w:val="008600F6"/>
    <w:rsid w:val="00860FFA"/>
    <w:rsid w:val="00861DF0"/>
    <w:rsid w:val="00862762"/>
    <w:rsid w:val="00862877"/>
    <w:rsid w:val="00864106"/>
    <w:rsid w:val="00865843"/>
    <w:rsid w:val="0086692B"/>
    <w:rsid w:val="00871735"/>
    <w:rsid w:val="00880D01"/>
    <w:rsid w:val="008837EA"/>
    <w:rsid w:val="00883C13"/>
    <w:rsid w:val="0088444B"/>
    <w:rsid w:val="00884578"/>
    <w:rsid w:val="008856AB"/>
    <w:rsid w:val="0088699F"/>
    <w:rsid w:val="00887207"/>
    <w:rsid w:val="00890342"/>
    <w:rsid w:val="00890E60"/>
    <w:rsid w:val="008935B4"/>
    <w:rsid w:val="00893FF1"/>
    <w:rsid w:val="0089478B"/>
    <w:rsid w:val="00894900"/>
    <w:rsid w:val="00897DE1"/>
    <w:rsid w:val="008A113A"/>
    <w:rsid w:val="008A3C9D"/>
    <w:rsid w:val="008A69EF"/>
    <w:rsid w:val="008B0582"/>
    <w:rsid w:val="008B05D2"/>
    <w:rsid w:val="008B293F"/>
    <w:rsid w:val="008B47CF"/>
    <w:rsid w:val="008B6349"/>
    <w:rsid w:val="008C162A"/>
    <w:rsid w:val="008C380F"/>
    <w:rsid w:val="008C65A6"/>
    <w:rsid w:val="008C70BC"/>
    <w:rsid w:val="008D31CB"/>
    <w:rsid w:val="008D407F"/>
    <w:rsid w:val="008D5228"/>
    <w:rsid w:val="008D5D18"/>
    <w:rsid w:val="008D6248"/>
    <w:rsid w:val="008D631D"/>
    <w:rsid w:val="008D6E94"/>
    <w:rsid w:val="008E3603"/>
    <w:rsid w:val="008E4CA3"/>
    <w:rsid w:val="008E7A59"/>
    <w:rsid w:val="008F4838"/>
    <w:rsid w:val="008F5A69"/>
    <w:rsid w:val="008F72A5"/>
    <w:rsid w:val="00900860"/>
    <w:rsid w:val="00901182"/>
    <w:rsid w:val="00904298"/>
    <w:rsid w:val="00905FE0"/>
    <w:rsid w:val="00906003"/>
    <w:rsid w:val="0090603E"/>
    <w:rsid w:val="0090661B"/>
    <w:rsid w:val="00907BCF"/>
    <w:rsid w:val="00910013"/>
    <w:rsid w:val="00913B1D"/>
    <w:rsid w:val="00922343"/>
    <w:rsid w:val="00924CF6"/>
    <w:rsid w:val="0092525E"/>
    <w:rsid w:val="009268DF"/>
    <w:rsid w:val="00926913"/>
    <w:rsid w:val="00927945"/>
    <w:rsid w:val="00930376"/>
    <w:rsid w:val="00931351"/>
    <w:rsid w:val="00934DB9"/>
    <w:rsid w:val="00936AFA"/>
    <w:rsid w:val="00937AB1"/>
    <w:rsid w:val="00937B08"/>
    <w:rsid w:val="00942E8E"/>
    <w:rsid w:val="00944410"/>
    <w:rsid w:val="009452C7"/>
    <w:rsid w:val="0094746A"/>
    <w:rsid w:val="0095029F"/>
    <w:rsid w:val="00951FC1"/>
    <w:rsid w:val="0095211D"/>
    <w:rsid w:val="009543E4"/>
    <w:rsid w:val="00955F1F"/>
    <w:rsid w:val="009630EA"/>
    <w:rsid w:val="0096340E"/>
    <w:rsid w:val="009766C1"/>
    <w:rsid w:val="00976A6A"/>
    <w:rsid w:val="0098074F"/>
    <w:rsid w:val="00980C50"/>
    <w:rsid w:val="00983D01"/>
    <w:rsid w:val="00984472"/>
    <w:rsid w:val="0098647F"/>
    <w:rsid w:val="009961E5"/>
    <w:rsid w:val="00996C9F"/>
    <w:rsid w:val="009A0814"/>
    <w:rsid w:val="009A54AB"/>
    <w:rsid w:val="009B2634"/>
    <w:rsid w:val="009B27E8"/>
    <w:rsid w:val="009B292B"/>
    <w:rsid w:val="009B69AC"/>
    <w:rsid w:val="009B732B"/>
    <w:rsid w:val="009C0168"/>
    <w:rsid w:val="009C3188"/>
    <w:rsid w:val="009C7159"/>
    <w:rsid w:val="009D037A"/>
    <w:rsid w:val="009D4026"/>
    <w:rsid w:val="009D57A7"/>
    <w:rsid w:val="009D684F"/>
    <w:rsid w:val="009D6CB2"/>
    <w:rsid w:val="009D7157"/>
    <w:rsid w:val="009E0AA7"/>
    <w:rsid w:val="009E2252"/>
    <w:rsid w:val="009E2601"/>
    <w:rsid w:val="009E7618"/>
    <w:rsid w:val="009E7DE4"/>
    <w:rsid w:val="009F16B5"/>
    <w:rsid w:val="009F3E61"/>
    <w:rsid w:val="009F4099"/>
    <w:rsid w:val="009F5703"/>
    <w:rsid w:val="009F5BD0"/>
    <w:rsid w:val="00A0045D"/>
    <w:rsid w:val="00A01FA4"/>
    <w:rsid w:val="00A05F67"/>
    <w:rsid w:val="00A069BB"/>
    <w:rsid w:val="00A06AF5"/>
    <w:rsid w:val="00A12E84"/>
    <w:rsid w:val="00A15300"/>
    <w:rsid w:val="00A15DD7"/>
    <w:rsid w:val="00A20D76"/>
    <w:rsid w:val="00A219C4"/>
    <w:rsid w:val="00A21D06"/>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61534"/>
    <w:rsid w:val="00A867E1"/>
    <w:rsid w:val="00A87EA6"/>
    <w:rsid w:val="00A90555"/>
    <w:rsid w:val="00A906AC"/>
    <w:rsid w:val="00A91106"/>
    <w:rsid w:val="00A93B62"/>
    <w:rsid w:val="00A93F08"/>
    <w:rsid w:val="00A95A06"/>
    <w:rsid w:val="00AA0DBE"/>
    <w:rsid w:val="00AA196F"/>
    <w:rsid w:val="00AA31F5"/>
    <w:rsid w:val="00AA359C"/>
    <w:rsid w:val="00AA5080"/>
    <w:rsid w:val="00AB1F9B"/>
    <w:rsid w:val="00AB2CE8"/>
    <w:rsid w:val="00AB59CA"/>
    <w:rsid w:val="00AC0684"/>
    <w:rsid w:val="00AC0C8B"/>
    <w:rsid w:val="00AC348A"/>
    <w:rsid w:val="00AC64BB"/>
    <w:rsid w:val="00AC7653"/>
    <w:rsid w:val="00AD0A4D"/>
    <w:rsid w:val="00AD0B3C"/>
    <w:rsid w:val="00AD0CCF"/>
    <w:rsid w:val="00AD20BA"/>
    <w:rsid w:val="00AD4010"/>
    <w:rsid w:val="00AD4C88"/>
    <w:rsid w:val="00AE42A5"/>
    <w:rsid w:val="00AE6A69"/>
    <w:rsid w:val="00AE6B37"/>
    <w:rsid w:val="00AE6D36"/>
    <w:rsid w:val="00AE6E58"/>
    <w:rsid w:val="00AE728F"/>
    <w:rsid w:val="00AE7E69"/>
    <w:rsid w:val="00AF0694"/>
    <w:rsid w:val="00AF0887"/>
    <w:rsid w:val="00AF155A"/>
    <w:rsid w:val="00AF320A"/>
    <w:rsid w:val="00AF4FB9"/>
    <w:rsid w:val="00AF7062"/>
    <w:rsid w:val="00AF70B7"/>
    <w:rsid w:val="00B01D1D"/>
    <w:rsid w:val="00B023F0"/>
    <w:rsid w:val="00B02F87"/>
    <w:rsid w:val="00B05AB8"/>
    <w:rsid w:val="00B1196C"/>
    <w:rsid w:val="00B1362D"/>
    <w:rsid w:val="00B16BA3"/>
    <w:rsid w:val="00B20D75"/>
    <w:rsid w:val="00B21C20"/>
    <w:rsid w:val="00B3004C"/>
    <w:rsid w:val="00B31656"/>
    <w:rsid w:val="00B317A5"/>
    <w:rsid w:val="00B3352C"/>
    <w:rsid w:val="00B36914"/>
    <w:rsid w:val="00B371AF"/>
    <w:rsid w:val="00B44F2E"/>
    <w:rsid w:val="00B45985"/>
    <w:rsid w:val="00B4621D"/>
    <w:rsid w:val="00B4631D"/>
    <w:rsid w:val="00B478CD"/>
    <w:rsid w:val="00B53486"/>
    <w:rsid w:val="00B53F2E"/>
    <w:rsid w:val="00B54DBB"/>
    <w:rsid w:val="00B567C3"/>
    <w:rsid w:val="00B57795"/>
    <w:rsid w:val="00B577D2"/>
    <w:rsid w:val="00B62F2C"/>
    <w:rsid w:val="00B6650D"/>
    <w:rsid w:val="00B70156"/>
    <w:rsid w:val="00B7298A"/>
    <w:rsid w:val="00B74554"/>
    <w:rsid w:val="00B77509"/>
    <w:rsid w:val="00B80F65"/>
    <w:rsid w:val="00B8362B"/>
    <w:rsid w:val="00B86312"/>
    <w:rsid w:val="00B92B81"/>
    <w:rsid w:val="00B92D67"/>
    <w:rsid w:val="00B94188"/>
    <w:rsid w:val="00B9437F"/>
    <w:rsid w:val="00B95D34"/>
    <w:rsid w:val="00BA09BB"/>
    <w:rsid w:val="00BA0B7F"/>
    <w:rsid w:val="00BA4844"/>
    <w:rsid w:val="00BA5274"/>
    <w:rsid w:val="00BA7554"/>
    <w:rsid w:val="00BB0322"/>
    <w:rsid w:val="00BB19C0"/>
    <w:rsid w:val="00BB30B9"/>
    <w:rsid w:val="00BB62E7"/>
    <w:rsid w:val="00BC042C"/>
    <w:rsid w:val="00BC45E0"/>
    <w:rsid w:val="00BD09DE"/>
    <w:rsid w:val="00BD515B"/>
    <w:rsid w:val="00BE14D4"/>
    <w:rsid w:val="00BE4D3D"/>
    <w:rsid w:val="00BE5AD1"/>
    <w:rsid w:val="00BE5AD3"/>
    <w:rsid w:val="00BF0738"/>
    <w:rsid w:val="00BF0934"/>
    <w:rsid w:val="00C0050C"/>
    <w:rsid w:val="00C033F6"/>
    <w:rsid w:val="00C038E4"/>
    <w:rsid w:val="00C05201"/>
    <w:rsid w:val="00C06371"/>
    <w:rsid w:val="00C07800"/>
    <w:rsid w:val="00C103D2"/>
    <w:rsid w:val="00C10959"/>
    <w:rsid w:val="00C14FB1"/>
    <w:rsid w:val="00C15148"/>
    <w:rsid w:val="00C16A45"/>
    <w:rsid w:val="00C216C2"/>
    <w:rsid w:val="00C3289E"/>
    <w:rsid w:val="00C35B5C"/>
    <w:rsid w:val="00C36229"/>
    <w:rsid w:val="00C42A1B"/>
    <w:rsid w:val="00C4448C"/>
    <w:rsid w:val="00C44898"/>
    <w:rsid w:val="00C44FA0"/>
    <w:rsid w:val="00C502AB"/>
    <w:rsid w:val="00C55218"/>
    <w:rsid w:val="00C57EA2"/>
    <w:rsid w:val="00C60482"/>
    <w:rsid w:val="00C63102"/>
    <w:rsid w:val="00C658E8"/>
    <w:rsid w:val="00C66D47"/>
    <w:rsid w:val="00C7220C"/>
    <w:rsid w:val="00C736D0"/>
    <w:rsid w:val="00C80C32"/>
    <w:rsid w:val="00C81CAC"/>
    <w:rsid w:val="00C83E34"/>
    <w:rsid w:val="00C84AFE"/>
    <w:rsid w:val="00C84EEF"/>
    <w:rsid w:val="00C85477"/>
    <w:rsid w:val="00C90CA5"/>
    <w:rsid w:val="00C935E8"/>
    <w:rsid w:val="00C95551"/>
    <w:rsid w:val="00C96818"/>
    <w:rsid w:val="00C96A94"/>
    <w:rsid w:val="00C97614"/>
    <w:rsid w:val="00CA2FB0"/>
    <w:rsid w:val="00CA5EE7"/>
    <w:rsid w:val="00CA615C"/>
    <w:rsid w:val="00CB1809"/>
    <w:rsid w:val="00CB336C"/>
    <w:rsid w:val="00CB5F45"/>
    <w:rsid w:val="00CC0652"/>
    <w:rsid w:val="00CC0D79"/>
    <w:rsid w:val="00CC49AD"/>
    <w:rsid w:val="00CC6D14"/>
    <w:rsid w:val="00CC7641"/>
    <w:rsid w:val="00CD1D23"/>
    <w:rsid w:val="00CD5747"/>
    <w:rsid w:val="00CD577D"/>
    <w:rsid w:val="00CE05EA"/>
    <w:rsid w:val="00CE1C9B"/>
    <w:rsid w:val="00CE4256"/>
    <w:rsid w:val="00CE4854"/>
    <w:rsid w:val="00CE4C90"/>
    <w:rsid w:val="00CE51AD"/>
    <w:rsid w:val="00CE5420"/>
    <w:rsid w:val="00CE5D7D"/>
    <w:rsid w:val="00CE6205"/>
    <w:rsid w:val="00CF2799"/>
    <w:rsid w:val="00CF6391"/>
    <w:rsid w:val="00D01B19"/>
    <w:rsid w:val="00D021A8"/>
    <w:rsid w:val="00D026EF"/>
    <w:rsid w:val="00D02FF7"/>
    <w:rsid w:val="00D07405"/>
    <w:rsid w:val="00D11092"/>
    <w:rsid w:val="00D11EE7"/>
    <w:rsid w:val="00D13DA0"/>
    <w:rsid w:val="00D14193"/>
    <w:rsid w:val="00D21BA4"/>
    <w:rsid w:val="00D30785"/>
    <w:rsid w:val="00D31C4D"/>
    <w:rsid w:val="00D361D3"/>
    <w:rsid w:val="00D36CA3"/>
    <w:rsid w:val="00D37CD2"/>
    <w:rsid w:val="00D37F23"/>
    <w:rsid w:val="00D40788"/>
    <w:rsid w:val="00D420D8"/>
    <w:rsid w:val="00D43C9D"/>
    <w:rsid w:val="00D45BDA"/>
    <w:rsid w:val="00D46EB9"/>
    <w:rsid w:val="00D5096B"/>
    <w:rsid w:val="00D524A6"/>
    <w:rsid w:val="00D52F9B"/>
    <w:rsid w:val="00D5322E"/>
    <w:rsid w:val="00D569EE"/>
    <w:rsid w:val="00D60964"/>
    <w:rsid w:val="00D61C1E"/>
    <w:rsid w:val="00D61FE5"/>
    <w:rsid w:val="00D62C19"/>
    <w:rsid w:val="00D62D1A"/>
    <w:rsid w:val="00D709A1"/>
    <w:rsid w:val="00D71BEB"/>
    <w:rsid w:val="00D779D5"/>
    <w:rsid w:val="00D805E4"/>
    <w:rsid w:val="00D8063B"/>
    <w:rsid w:val="00D80C58"/>
    <w:rsid w:val="00D81F9E"/>
    <w:rsid w:val="00D84792"/>
    <w:rsid w:val="00D86DC2"/>
    <w:rsid w:val="00D86E05"/>
    <w:rsid w:val="00D91945"/>
    <w:rsid w:val="00DA41E9"/>
    <w:rsid w:val="00DA6370"/>
    <w:rsid w:val="00DA65A5"/>
    <w:rsid w:val="00DA735F"/>
    <w:rsid w:val="00DB1A14"/>
    <w:rsid w:val="00DB1D9B"/>
    <w:rsid w:val="00DB544D"/>
    <w:rsid w:val="00DB735B"/>
    <w:rsid w:val="00DB7DF4"/>
    <w:rsid w:val="00DC0EF4"/>
    <w:rsid w:val="00DC19A5"/>
    <w:rsid w:val="00DC2800"/>
    <w:rsid w:val="00DC5188"/>
    <w:rsid w:val="00DC5620"/>
    <w:rsid w:val="00DC6A51"/>
    <w:rsid w:val="00DC6C0D"/>
    <w:rsid w:val="00DC6F04"/>
    <w:rsid w:val="00DD0F7F"/>
    <w:rsid w:val="00DD20BE"/>
    <w:rsid w:val="00DE1A75"/>
    <w:rsid w:val="00DE35F5"/>
    <w:rsid w:val="00DE35F6"/>
    <w:rsid w:val="00DE514F"/>
    <w:rsid w:val="00DE5DF7"/>
    <w:rsid w:val="00DE64B0"/>
    <w:rsid w:val="00DE7F86"/>
    <w:rsid w:val="00DF3045"/>
    <w:rsid w:val="00DF3B36"/>
    <w:rsid w:val="00DF3CDD"/>
    <w:rsid w:val="00DF68BA"/>
    <w:rsid w:val="00E02CFD"/>
    <w:rsid w:val="00E03197"/>
    <w:rsid w:val="00E1043D"/>
    <w:rsid w:val="00E12A61"/>
    <w:rsid w:val="00E20984"/>
    <w:rsid w:val="00E2187A"/>
    <w:rsid w:val="00E22866"/>
    <w:rsid w:val="00E23487"/>
    <w:rsid w:val="00E26245"/>
    <w:rsid w:val="00E31F68"/>
    <w:rsid w:val="00E32427"/>
    <w:rsid w:val="00E32515"/>
    <w:rsid w:val="00E329CF"/>
    <w:rsid w:val="00E34E66"/>
    <w:rsid w:val="00E403B4"/>
    <w:rsid w:val="00E45B8F"/>
    <w:rsid w:val="00E4623D"/>
    <w:rsid w:val="00E4695E"/>
    <w:rsid w:val="00E4735D"/>
    <w:rsid w:val="00E51C68"/>
    <w:rsid w:val="00E5293E"/>
    <w:rsid w:val="00E53A6C"/>
    <w:rsid w:val="00E54C88"/>
    <w:rsid w:val="00E62124"/>
    <w:rsid w:val="00E638E0"/>
    <w:rsid w:val="00E64530"/>
    <w:rsid w:val="00E647C2"/>
    <w:rsid w:val="00E660F8"/>
    <w:rsid w:val="00E724B8"/>
    <w:rsid w:val="00E748DF"/>
    <w:rsid w:val="00E752BB"/>
    <w:rsid w:val="00E80A65"/>
    <w:rsid w:val="00E80CE0"/>
    <w:rsid w:val="00E83F6F"/>
    <w:rsid w:val="00E87626"/>
    <w:rsid w:val="00E914B4"/>
    <w:rsid w:val="00E9155D"/>
    <w:rsid w:val="00E92B66"/>
    <w:rsid w:val="00E92DE3"/>
    <w:rsid w:val="00E94F49"/>
    <w:rsid w:val="00E95B7E"/>
    <w:rsid w:val="00E96139"/>
    <w:rsid w:val="00EA27AE"/>
    <w:rsid w:val="00EA2CDF"/>
    <w:rsid w:val="00EA7F13"/>
    <w:rsid w:val="00EB3150"/>
    <w:rsid w:val="00EB3533"/>
    <w:rsid w:val="00EB5916"/>
    <w:rsid w:val="00EC10E2"/>
    <w:rsid w:val="00EC5701"/>
    <w:rsid w:val="00EC5957"/>
    <w:rsid w:val="00EC597B"/>
    <w:rsid w:val="00EC64DB"/>
    <w:rsid w:val="00EC6721"/>
    <w:rsid w:val="00EC72F1"/>
    <w:rsid w:val="00ED4001"/>
    <w:rsid w:val="00ED55AB"/>
    <w:rsid w:val="00ED7B20"/>
    <w:rsid w:val="00EE15C6"/>
    <w:rsid w:val="00EE3CD8"/>
    <w:rsid w:val="00EE466C"/>
    <w:rsid w:val="00EE5DD5"/>
    <w:rsid w:val="00EE612F"/>
    <w:rsid w:val="00EE7BC8"/>
    <w:rsid w:val="00EF0A6A"/>
    <w:rsid w:val="00EF1E63"/>
    <w:rsid w:val="00EF2FB9"/>
    <w:rsid w:val="00F00915"/>
    <w:rsid w:val="00F0093A"/>
    <w:rsid w:val="00F01C47"/>
    <w:rsid w:val="00F044AF"/>
    <w:rsid w:val="00F046F5"/>
    <w:rsid w:val="00F04B5C"/>
    <w:rsid w:val="00F07C0D"/>
    <w:rsid w:val="00F104F6"/>
    <w:rsid w:val="00F11047"/>
    <w:rsid w:val="00F124F9"/>
    <w:rsid w:val="00F20567"/>
    <w:rsid w:val="00F20EFB"/>
    <w:rsid w:val="00F21FE6"/>
    <w:rsid w:val="00F2305B"/>
    <w:rsid w:val="00F2335A"/>
    <w:rsid w:val="00F25883"/>
    <w:rsid w:val="00F37434"/>
    <w:rsid w:val="00F37DA1"/>
    <w:rsid w:val="00F41E33"/>
    <w:rsid w:val="00F435E4"/>
    <w:rsid w:val="00F441BB"/>
    <w:rsid w:val="00F47CF2"/>
    <w:rsid w:val="00F50097"/>
    <w:rsid w:val="00F50560"/>
    <w:rsid w:val="00F53339"/>
    <w:rsid w:val="00F54762"/>
    <w:rsid w:val="00F577BC"/>
    <w:rsid w:val="00F57BD6"/>
    <w:rsid w:val="00F6056B"/>
    <w:rsid w:val="00F615DD"/>
    <w:rsid w:val="00F6213E"/>
    <w:rsid w:val="00F71DB9"/>
    <w:rsid w:val="00F75672"/>
    <w:rsid w:val="00F77C42"/>
    <w:rsid w:val="00F80095"/>
    <w:rsid w:val="00F80BB3"/>
    <w:rsid w:val="00F81FEE"/>
    <w:rsid w:val="00F874F4"/>
    <w:rsid w:val="00F87F5A"/>
    <w:rsid w:val="00F90905"/>
    <w:rsid w:val="00F95B26"/>
    <w:rsid w:val="00F97EF4"/>
    <w:rsid w:val="00FA0105"/>
    <w:rsid w:val="00FA0786"/>
    <w:rsid w:val="00FA2BB9"/>
    <w:rsid w:val="00FA2CF7"/>
    <w:rsid w:val="00FA4E5F"/>
    <w:rsid w:val="00FA7EC2"/>
    <w:rsid w:val="00FB0642"/>
    <w:rsid w:val="00FB195D"/>
    <w:rsid w:val="00FB5674"/>
    <w:rsid w:val="00FB7191"/>
    <w:rsid w:val="00FC0EA2"/>
    <w:rsid w:val="00FC1DCD"/>
    <w:rsid w:val="00FC1F39"/>
    <w:rsid w:val="00FC2CE6"/>
    <w:rsid w:val="00FC3B8E"/>
    <w:rsid w:val="00FC5118"/>
    <w:rsid w:val="00FC7B9B"/>
    <w:rsid w:val="00FD04B9"/>
    <w:rsid w:val="00FD0B08"/>
    <w:rsid w:val="00FD273C"/>
    <w:rsid w:val="00FD5A9E"/>
    <w:rsid w:val="00FD65CD"/>
    <w:rsid w:val="00FD77F7"/>
    <w:rsid w:val="00FD7847"/>
    <w:rsid w:val="00FE029E"/>
    <w:rsid w:val="00FE0CB0"/>
    <w:rsid w:val="00FE2012"/>
    <w:rsid w:val="00FE3380"/>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7134E1"/>
  <w15:docId w15:val="{D1B184D8-5D41-43D6-91D2-8F0ECF0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link w:val="Heading2Char"/>
    <w:qFormat/>
    <w:rsid w:val="00B80F65"/>
    <w:pPr>
      <w:keepNext/>
      <w:outlineLvl w:val="1"/>
    </w:pPr>
    <w:rPr>
      <w:b/>
      <w:bCs/>
      <w:u w:val="single"/>
    </w:rPr>
  </w:style>
  <w:style w:type="paragraph" w:styleId="Heading3">
    <w:name w:val="heading 3"/>
    <w:basedOn w:val="Normal"/>
    <w:next w:val="Normal"/>
    <w:link w:val="Heading3Char"/>
    <w:qFormat/>
    <w:rsid w:val="00B80F65"/>
    <w:pPr>
      <w:keepNext/>
      <w:jc w:val="center"/>
      <w:outlineLvl w:val="2"/>
    </w:pPr>
    <w:rPr>
      <w:b/>
      <w:bCs/>
      <w:sz w:val="28"/>
    </w:rPr>
  </w:style>
  <w:style w:type="paragraph" w:styleId="Heading4">
    <w:name w:val="heading 4"/>
    <w:basedOn w:val="Normal"/>
    <w:next w:val="Normal"/>
    <w:link w:val="Heading4Char"/>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link w:val="Heading6Char"/>
    <w:qFormat/>
    <w:rsid w:val="00B80F65"/>
    <w:pPr>
      <w:keepNext/>
      <w:outlineLvl w:val="5"/>
    </w:pPr>
    <w:rPr>
      <w:u w:val="single"/>
    </w:rPr>
  </w:style>
  <w:style w:type="paragraph" w:styleId="Heading7">
    <w:name w:val="heading 7"/>
    <w:basedOn w:val="Normal"/>
    <w:next w:val="Normal"/>
    <w:link w:val="Heading7Char"/>
    <w:qFormat/>
    <w:rsid w:val="00B80F65"/>
    <w:pPr>
      <w:keepNext/>
      <w:jc w:val="center"/>
      <w:outlineLvl w:val="6"/>
    </w:pPr>
    <w:rPr>
      <w:b/>
      <w:bCs/>
      <w:szCs w:val="32"/>
    </w:rPr>
  </w:style>
  <w:style w:type="paragraph" w:styleId="Heading8">
    <w:name w:val="heading 8"/>
    <w:basedOn w:val="Normal"/>
    <w:next w:val="Normal"/>
    <w:link w:val="Heading8Char"/>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link w:val="BodyTextChar"/>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link w:val="BodyText3Char"/>
    <w:rsid w:val="00B80F65"/>
    <w:rPr>
      <w:color w:val="000000"/>
    </w:rPr>
  </w:style>
  <w:style w:type="paragraph" w:styleId="BodyTextIndent">
    <w:name w:val="Body Text Indent"/>
    <w:basedOn w:val="Normal"/>
    <w:link w:val="BodyTextIndentChar"/>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link w:val="BalloonTextChar"/>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styleId="UnresolvedMention">
    <w:name w:val="Unresolved Mention"/>
    <w:basedOn w:val="DefaultParagraphFont"/>
    <w:uiPriority w:val="99"/>
    <w:semiHidden/>
    <w:unhideWhenUsed/>
    <w:rsid w:val="00372082"/>
    <w:rPr>
      <w:color w:val="605E5C"/>
      <w:shd w:val="clear" w:color="auto" w:fill="E1DFDD"/>
    </w:rPr>
  </w:style>
  <w:style w:type="paragraph" w:customStyle="1" w:styleId="ColorfulList-Accent14">
    <w:name w:val="Colorful List - Accent 14"/>
    <w:basedOn w:val="Normal"/>
    <w:uiPriority w:val="99"/>
    <w:qFormat/>
    <w:rsid w:val="00894900"/>
    <w:pPr>
      <w:spacing w:after="200" w:line="276" w:lineRule="auto"/>
      <w:ind w:left="720"/>
    </w:pPr>
    <w:rPr>
      <w:rFonts w:ascii="Calibri" w:eastAsia="SimSun" w:hAnsi="Calibri"/>
      <w:sz w:val="22"/>
      <w:szCs w:val="22"/>
    </w:rPr>
  </w:style>
  <w:style w:type="character" w:customStyle="1" w:styleId="BodyText2Char">
    <w:name w:val="Body Text 2 Char"/>
    <w:basedOn w:val="DefaultParagraphFont"/>
    <w:link w:val="BodyText2"/>
    <w:rsid w:val="00073EA5"/>
    <w:rPr>
      <w:sz w:val="23"/>
      <w:szCs w:val="24"/>
    </w:rPr>
  </w:style>
  <w:style w:type="character" w:customStyle="1" w:styleId="Heading1Char">
    <w:name w:val="Heading 1 Char"/>
    <w:basedOn w:val="DefaultParagraphFont"/>
    <w:link w:val="Heading1"/>
    <w:rsid w:val="004B0E92"/>
    <w:rPr>
      <w:b/>
      <w:bCs/>
      <w:sz w:val="28"/>
      <w:szCs w:val="24"/>
    </w:rPr>
  </w:style>
  <w:style w:type="character" w:customStyle="1" w:styleId="Heading2Char">
    <w:name w:val="Heading 2 Char"/>
    <w:basedOn w:val="DefaultParagraphFont"/>
    <w:link w:val="Heading2"/>
    <w:rsid w:val="004B0E92"/>
    <w:rPr>
      <w:b/>
      <w:bCs/>
      <w:sz w:val="24"/>
      <w:szCs w:val="24"/>
      <w:u w:val="single"/>
    </w:rPr>
  </w:style>
  <w:style w:type="character" w:customStyle="1" w:styleId="Heading3Char">
    <w:name w:val="Heading 3 Char"/>
    <w:basedOn w:val="DefaultParagraphFont"/>
    <w:link w:val="Heading3"/>
    <w:rsid w:val="004B0E92"/>
    <w:rPr>
      <w:b/>
      <w:bCs/>
      <w:sz w:val="28"/>
      <w:szCs w:val="24"/>
    </w:rPr>
  </w:style>
  <w:style w:type="character" w:customStyle="1" w:styleId="Heading4Char">
    <w:name w:val="Heading 4 Char"/>
    <w:basedOn w:val="DefaultParagraphFont"/>
    <w:link w:val="Heading4"/>
    <w:rsid w:val="004B0E92"/>
    <w:rPr>
      <w:b/>
      <w:bCs/>
      <w:sz w:val="24"/>
      <w:szCs w:val="24"/>
    </w:rPr>
  </w:style>
  <w:style w:type="character" w:customStyle="1" w:styleId="Heading5Char">
    <w:name w:val="Heading 5 Char"/>
    <w:basedOn w:val="DefaultParagraphFont"/>
    <w:link w:val="Heading5"/>
    <w:rsid w:val="004B0E92"/>
    <w:rPr>
      <w:b/>
      <w:bCs/>
      <w:sz w:val="28"/>
      <w:szCs w:val="24"/>
      <w:u w:val="single"/>
    </w:rPr>
  </w:style>
  <w:style w:type="character" w:customStyle="1" w:styleId="Heading6Char">
    <w:name w:val="Heading 6 Char"/>
    <w:basedOn w:val="DefaultParagraphFont"/>
    <w:link w:val="Heading6"/>
    <w:rsid w:val="004B0E92"/>
    <w:rPr>
      <w:sz w:val="24"/>
      <w:szCs w:val="24"/>
      <w:u w:val="single"/>
    </w:rPr>
  </w:style>
  <w:style w:type="character" w:customStyle="1" w:styleId="Heading7Char">
    <w:name w:val="Heading 7 Char"/>
    <w:basedOn w:val="DefaultParagraphFont"/>
    <w:link w:val="Heading7"/>
    <w:rsid w:val="004B0E92"/>
    <w:rPr>
      <w:b/>
      <w:bCs/>
      <w:sz w:val="24"/>
      <w:szCs w:val="32"/>
    </w:rPr>
  </w:style>
  <w:style w:type="character" w:customStyle="1" w:styleId="Heading8Char">
    <w:name w:val="Heading 8 Char"/>
    <w:basedOn w:val="DefaultParagraphFont"/>
    <w:link w:val="Heading8"/>
    <w:rsid w:val="004B0E92"/>
    <w:rPr>
      <w:i/>
      <w:iCs/>
      <w:sz w:val="24"/>
      <w:szCs w:val="24"/>
    </w:rPr>
  </w:style>
  <w:style w:type="character" w:customStyle="1" w:styleId="TitleChar">
    <w:name w:val="Title Char"/>
    <w:basedOn w:val="DefaultParagraphFont"/>
    <w:link w:val="Title"/>
    <w:uiPriority w:val="99"/>
    <w:rsid w:val="004B0E92"/>
    <w:rPr>
      <w:smallCaps/>
      <w:sz w:val="26"/>
    </w:rPr>
  </w:style>
  <w:style w:type="paragraph" w:styleId="TOC1">
    <w:name w:val="toc 1"/>
    <w:basedOn w:val="Normal"/>
    <w:next w:val="Normal"/>
    <w:autoRedefine/>
    <w:uiPriority w:val="39"/>
    <w:qFormat/>
    <w:rsid w:val="004B0E92"/>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qFormat/>
    <w:rsid w:val="004B0E92"/>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qFormat/>
    <w:rsid w:val="004B0E92"/>
    <w:pPr>
      <w:widowControl w:val="0"/>
      <w:tabs>
        <w:tab w:val="right" w:leader="dot" w:pos="8630"/>
      </w:tabs>
      <w:autoSpaceDE w:val="0"/>
      <w:autoSpaceDN w:val="0"/>
      <w:adjustRightInd w:val="0"/>
      <w:ind w:left="240"/>
    </w:pPr>
    <w:rPr>
      <w:rFonts w:ascii="Arial" w:eastAsia="SimSun" w:hAnsi="Arial" w:cs="Arial"/>
      <w:b/>
      <w:bCs/>
      <w:noProof/>
    </w:rPr>
  </w:style>
  <w:style w:type="character" w:customStyle="1" w:styleId="HTMLPreformattedChar">
    <w:name w:val="HTML Preformatted Char"/>
    <w:basedOn w:val="DefaultParagraphFont"/>
    <w:link w:val="HTMLPreformatted"/>
    <w:uiPriority w:val="99"/>
    <w:rsid w:val="004B0E92"/>
    <w:rPr>
      <w:rFonts w:ascii="Arial Unicode MS" w:eastAsia="Arial Unicode MS" w:hAnsi="Arial Unicode MS" w:cs="Arial Unicode MS"/>
    </w:rPr>
  </w:style>
  <w:style w:type="paragraph" w:styleId="BodyTextIndent3">
    <w:name w:val="Body Text Indent 3"/>
    <w:basedOn w:val="Normal"/>
    <w:link w:val="BodyTextIndent3Char"/>
    <w:semiHidden/>
    <w:rsid w:val="004B0E92"/>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semiHidden/>
    <w:rsid w:val="004B0E92"/>
    <w:rPr>
      <w:rFonts w:eastAsia="SimSun"/>
    </w:rPr>
  </w:style>
  <w:style w:type="character" w:customStyle="1" w:styleId="BodyTextChar">
    <w:name w:val="Body Text Char"/>
    <w:basedOn w:val="DefaultParagraphFont"/>
    <w:link w:val="BodyText"/>
    <w:rsid w:val="004B0E92"/>
    <w:rPr>
      <w:sz w:val="24"/>
      <w:szCs w:val="24"/>
    </w:rPr>
  </w:style>
  <w:style w:type="paragraph" w:styleId="BodyTextIndent2">
    <w:name w:val="Body Text Indent 2"/>
    <w:basedOn w:val="Normal"/>
    <w:link w:val="BodyTextIndent2Char"/>
    <w:semiHidden/>
    <w:rsid w:val="004B0E92"/>
    <w:pPr>
      <w:framePr w:hSpace="180" w:wrap="around" w:vAnchor="text" w:hAnchor="text" w:y="1"/>
      <w:widowControl w:val="0"/>
      <w:autoSpaceDE w:val="0"/>
      <w:autoSpaceDN w:val="0"/>
      <w:adjustRightInd w:val="0"/>
      <w:ind w:left="270" w:hanging="270"/>
      <w:suppressOverlap/>
    </w:pPr>
    <w:rPr>
      <w:rFonts w:eastAsia="SimSun"/>
      <w:sz w:val="20"/>
      <w:szCs w:val="20"/>
    </w:rPr>
  </w:style>
  <w:style w:type="character" w:customStyle="1" w:styleId="BodyTextIndent2Char">
    <w:name w:val="Body Text Indent 2 Char"/>
    <w:basedOn w:val="DefaultParagraphFont"/>
    <w:link w:val="BodyTextIndent2"/>
    <w:semiHidden/>
    <w:rsid w:val="004B0E92"/>
    <w:rPr>
      <w:rFonts w:eastAsia="SimSun"/>
    </w:rPr>
  </w:style>
  <w:style w:type="paragraph" w:styleId="Caption">
    <w:name w:val="caption"/>
    <w:basedOn w:val="Normal"/>
    <w:next w:val="Normal"/>
    <w:qFormat/>
    <w:rsid w:val="004B0E92"/>
    <w:pPr>
      <w:widowControl w:val="0"/>
      <w:autoSpaceDE w:val="0"/>
      <w:autoSpaceDN w:val="0"/>
      <w:adjustRightInd w:val="0"/>
    </w:pPr>
    <w:rPr>
      <w:rFonts w:eastAsia="SimSun"/>
      <w:b/>
      <w:bCs/>
      <w:sz w:val="20"/>
      <w:szCs w:val="20"/>
    </w:rPr>
  </w:style>
  <w:style w:type="character" w:customStyle="1" w:styleId="BodyTextIndentChar">
    <w:name w:val="Body Text Indent Char"/>
    <w:basedOn w:val="DefaultParagraphFont"/>
    <w:link w:val="BodyTextIndent"/>
    <w:rsid w:val="004B0E92"/>
    <w:rPr>
      <w:b/>
      <w:bCs/>
      <w:sz w:val="24"/>
      <w:szCs w:val="24"/>
    </w:rPr>
  </w:style>
  <w:style w:type="paragraph" w:customStyle="1" w:styleId="List-Lettered">
    <w:name w:val="List-Lettered"/>
    <w:basedOn w:val="Normal"/>
    <w:rsid w:val="004B0E92"/>
    <w:pPr>
      <w:tabs>
        <w:tab w:val="num" w:pos="360"/>
        <w:tab w:val="right" w:leader="dot" w:pos="9360"/>
      </w:tabs>
      <w:spacing w:after="240"/>
    </w:pPr>
    <w:rPr>
      <w:rFonts w:eastAsia="SimSun"/>
      <w:b/>
      <w:bCs/>
      <w:caps/>
    </w:rPr>
  </w:style>
  <w:style w:type="paragraph" w:customStyle="1" w:styleId="List-RomanNumeral">
    <w:name w:val="List-Roman Numeral"/>
    <w:basedOn w:val="Heading2"/>
    <w:rsid w:val="004B0E92"/>
    <w:pPr>
      <w:keepNext w:val="0"/>
      <w:tabs>
        <w:tab w:val="left" w:pos="720"/>
      </w:tabs>
      <w:spacing w:after="240"/>
      <w:ind w:left="720" w:hanging="720"/>
    </w:pPr>
    <w:rPr>
      <w:rFonts w:eastAsia="SimSun"/>
      <w:caps/>
      <w:sz w:val="28"/>
    </w:rPr>
  </w:style>
  <w:style w:type="character" w:customStyle="1" w:styleId="BodyText3Char">
    <w:name w:val="Body Text 3 Char"/>
    <w:basedOn w:val="DefaultParagraphFont"/>
    <w:link w:val="BodyText3"/>
    <w:rsid w:val="004B0E92"/>
    <w:rPr>
      <w:color w:val="000000"/>
      <w:sz w:val="24"/>
      <w:szCs w:val="24"/>
    </w:rPr>
  </w:style>
  <w:style w:type="character" w:customStyle="1" w:styleId="BalloonTextChar">
    <w:name w:val="Balloon Text Char"/>
    <w:basedOn w:val="DefaultParagraphFont"/>
    <w:link w:val="BalloonText"/>
    <w:semiHidden/>
    <w:rsid w:val="004B0E92"/>
    <w:rPr>
      <w:rFonts w:ascii="Tahoma" w:hAnsi="Tahoma" w:cs="Tahoma"/>
      <w:sz w:val="16"/>
      <w:szCs w:val="16"/>
    </w:rPr>
  </w:style>
  <w:style w:type="character" w:customStyle="1" w:styleId="CommentSubjectChar">
    <w:name w:val="Comment Subject Char"/>
    <w:basedOn w:val="CommentTextChar"/>
    <w:link w:val="CommentSubject"/>
    <w:uiPriority w:val="99"/>
    <w:semiHidden/>
    <w:rsid w:val="004B0E92"/>
    <w:rPr>
      <w:b/>
      <w:bCs/>
    </w:rPr>
  </w:style>
  <w:style w:type="character" w:customStyle="1" w:styleId="CommentTextChar1">
    <w:name w:val="Comment Text Char1"/>
    <w:rsid w:val="004B0E92"/>
    <w:rPr>
      <w:rFonts w:ascii="Times New Roman" w:eastAsia="SimSun" w:hAnsi="Times New Roman"/>
    </w:rPr>
  </w:style>
  <w:style w:type="paragraph" w:customStyle="1" w:styleId="p10">
    <w:name w:val="p10"/>
    <w:basedOn w:val="Normal"/>
    <w:rsid w:val="004B0E92"/>
    <w:pPr>
      <w:widowControl w:val="0"/>
      <w:autoSpaceDE w:val="0"/>
      <w:autoSpaceDN w:val="0"/>
      <w:adjustRightInd w:val="0"/>
      <w:ind w:left="1100" w:hanging="340"/>
    </w:pPr>
    <w:rPr>
      <w:sz w:val="20"/>
    </w:rPr>
  </w:style>
  <w:style w:type="paragraph" w:customStyle="1" w:styleId="c1">
    <w:name w:val="c1"/>
    <w:basedOn w:val="Normal"/>
    <w:rsid w:val="004B0E92"/>
    <w:pPr>
      <w:widowControl w:val="0"/>
      <w:autoSpaceDE w:val="0"/>
      <w:autoSpaceDN w:val="0"/>
      <w:adjustRightInd w:val="0"/>
      <w:jc w:val="center"/>
    </w:pPr>
    <w:rPr>
      <w:sz w:val="20"/>
    </w:rPr>
  </w:style>
  <w:style w:type="paragraph" w:customStyle="1" w:styleId="p2">
    <w:name w:val="p2"/>
    <w:basedOn w:val="Normal"/>
    <w:rsid w:val="004B0E92"/>
    <w:pPr>
      <w:widowControl w:val="0"/>
      <w:tabs>
        <w:tab w:val="left" w:pos="204"/>
      </w:tabs>
      <w:autoSpaceDE w:val="0"/>
      <w:autoSpaceDN w:val="0"/>
      <w:adjustRightInd w:val="0"/>
    </w:pPr>
    <w:rPr>
      <w:sz w:val="20"/>
    </w:rPr>
  </w:style>
  <w:style w:type="paragraph" w:customStyle="1" w:styleId="p4">
    <w:name w:val="p4"/>
    <w:basedOn w:val="Normal"/>
    <w:rsid w:val="004B0E92"/>
    <w:pPr>
      <w:widowControl w:val="0"/>
      <w:tabs>
        <w:tab w:val="left" w:pos="204"/>
      </w:tabs>
      <w:autoSpaceDE w:val="0"/>
      <w:autoSpaceDN w:val="0"/>
      <w:adjustRightInd w:val="0"/>
    </w:pPr>
    <w:rPr>
      <w:sz w:val="20"/>
    </w:rPr>
  </w:style>
  <w:style w:type="paragraph" w:customStyle="1" w:styleId="p5">
    <w:name w:val="p5"/>
    <w:basedOn w:val="Normal"/>
    <w:rsid w:val="004B0E92"/>
    <w:pPr>
      <w:widowControl w:val="0"/>
      <w:tabs>
        <w:tab w:val="left" w:pos="396"/>
      </w:tabs>
      <w:autoSpaceDE w:val="0"/>
      <w:autoSpaceDN w:val="0"/>
      <w:adjustRightInd w:val="0"/>
      <w:ind w:left="1044" w:hanging="396"/>
    </w:pPr>
    <w:rPr>
      <w:sz w:val="20"/>
    </w:rPr>
  </w:style>
  <w:style w:type="paragraph" w:customStyle="1" w:styleId="p7">
    <w:name w:val="p7"/>
    <w:basedOn w:val="Normal"/>
    <w:rsid w:val="004B0E92"/>
    <w:pPr>
      <w:widowControl w:val="0"/>
      <w:autoSpaceDE w:val="0"/>
      <w:autoSpaceDN w:val="0"/>
      <w:adjustRightInd w:val="0"/>
      <w:ind w:left="1078" w:hanging="362"/>
    </w:pPr>
    <w:rPr>
      <w:sz w:val="20"/>
    </w:rPr>
  </w:style>
  <w:style w:type="paragraph" w:customStyle="1" w:styleId="GuidebookLVL2">
    <w:name w:val="Guidebook LVL 2"/>
    <w:basedOn w:val="Normal"/>
    <w:rsid w:val="004B0E92"/>
    <w:pPr>
      <w:spacing w:before="160"/>
    </w:pPr>
    <w:rPr>
      <w:rFonts w:ascii="Arial" w:hAnsi="Arial"/>
      <w:b/>
      <w:bCs/>
      <w:color w:val="000000"/>
    </w:rPr>
  </w:style>
  <w:style w:type="paragraph" w:customStyle="1" w:styleId="cita">
    <w:name w:val="cita"/>
    <w:basedOn w:val="Normal"/>
    <w:rsid w:val="004B0E92"/>
    <w:pPr>
      <w:spacing w:before="200" w:after="100" w:afterAutospacing="1"/>
    </w:pPr>
    <w:rPr>
      <w:sz w:val="18"/>
      <w:szCs w:val="18"/>
    </w:rPr>
  </w:style>
  <w:style w:type="paragraph" w:customStyle="1" w:styleId="appro">
    <w:name w:val="appro"/>
    <w:basedOn w:val="Normal"/>
    <w:rsid w:val="004B0E92"/>
    <w:pPr>
      <w:spacing w:before="200" w:after="100" w:afterAutospacing="1"/>
    </w:pPr>
    <w:rPr>
      <w:sz w:val="18"/>
      <w:szCs w:val="18"/>
    </w:rPr>
  </w:style>
  <w:style w:type="paragraph" w:customStyle="1" w:styleId="secauth">
    <w:name w:val="secauth"/>
    <w:basedOn w:val="Normal"/>
    <w:rsid w:val="004B0E92"/>
    <w:pPr>
      <w:spacing w:before="200" w:after="100" w:afterAutospacing="1"/>
    </w:pPr>
    <w:rPr>
      <w:sz w:val="18"/>
      <w:szCs w:val="18"/>
    </w:rPr>
  </w:style>
  <w:style w:type="paragraph" w:styleId="EndnoteText">
    <w:name w:val="endnote text"/>
    <w:basedOn w:val="Normal"/>
    <w:link w:val="EndnoteTextChar"/>
    <w:uiPriority w:val="99"/>
    <w:semiHidden/>
    <w:unhideWhenUsed/>
    <w:rsid w:val="004B0E92"/>
    <w:rPr>
      <w:sz w:val="20"/>
      <w:szCs w:val="20"/>
    </w:rPr>
  </w:style>
  <w:style w:type="character" w:customStyle="1" w:styleId="EndnoteTextChar">
    <w:name w:val="Endnote Text Char"/>
    <w:basedOn w:val="DefaultParagraphFont"/>
    <w:link w:val="EndnoteText"/>
    <w:uiPriority w:val="99"/>
    <w:semiHidden/>
    <w:rsid w:val="004B0E92"/>
  </w:style>
  <w:style w:type="character" w:styleId="EndnoteReference">
    <w:name w:val="endnote reference"/>
    <w:uiPriority w:val="99"/>
    <w:semiHidden/>
    <w:unhideWhenUsed/>
    <w:rsid w:val="004B0E92"/>
    <w:rPr>
      <w:vertAlign w:val="superscript"/>
    </w:rPr>
  </w:style>
  <w:style w:type="table" w:styleId="MediumShading2-Accent1">
    <w:name w:val="Medium Shading 2 Accent 1"/>
    <w:basedOn w:val="TableNormal"/>
    <w:uiPriority w:val="64"/>
    <w:rsid w:val="004B0E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BottomofForm">
    <w:name w:val="HTML Bottom of Form"/>
    <w:basedOn w:val="Normal"/>
    <w:next w:val="Normal"/>
    <w:link w:val="z-BottomofFormChar"/>
    <w:hidden/>
    <w:uiPriority w:val="99"/>
    <w:semiHidden/>
    <w:unhideWhenUsed/>
    <w:rsid w:val="004B0E92"/>
    <w:pPr>
      <w:pBdr>
        <w:top w:val="single" w:sz="6" w:space="1" w:color="auto"/>
      </w:pBdr>
      <w:jc w:val="center"/>
    </w:pPr>
    <w:rPr>
      <w:rFonts w:ascii="Arial" w:eastAsia="SimSun" w:hAnsi="Arial"/>
      <w:vanish/>
      <w:sz w:val="16"/>
      <w:szCs w:val="16"/>
    </w:rPr>
  </w:style>
  <w:style w:type="character" w:customStyle="1" w:styleId="z-BottomofFormChar">
    <w:name w:val="z-Bottom of Form Char"/>
    <w:basedOn w:val="DefaultParagraphFont"/>
    <w:link w:val="z-BottomofForm"/>
    <w:uiPriority w:val="99"/>
    <w:semiHidden/>
    <w:rsid w:val="004B0E92"/>
    <w:rPr>
      <w:rFonts w:ascii="Arial" w:eastAsia="SimSun" w:hAnsi="Arial"/>
      <w:vanish/>
      <w:sz w:val="16"/>
      <w:szCs w:val="16"/>
    </w:rPr>
  </w:style>
  <w:style w:type="paragraph" w:styleId="z-TopofForm">
    <w:name w:val="HTML Top of Form"/>
    <w:basedOn w:val="Normal"/>
    <w:next w:val="Normal"/>
    <w:link w:val="z-TopofFormChar"/>
    <w:hidden/>
    <w:uiPriority w:val="99"/>
    <w:semiHidden/>
    <w:unhideWhenUsed/>
    <w:rsid w:val="004B0E92"/>
    <w:pPr>
      <w:pBdr>
        <w:bottom w:val="single" w:sz="6" w:space="1" w:color="auto"/>
      </w:pBdr>
      <w:jc w:val="center"/>
    </w:pPr>
    <w:rPr>
      <w:rFonts w:ascii="Arial" w:eastAsia="SimSun" w:hAnsi="Arial"/>
      <w:vanish/>
      <w:sz w:val="16"/>
      <w:szCs w:val="16"/>
    </w:rPr>
  </w:style>
  <w:style w:type="character" w:customStyle="1" w:styleId="z-TopofFormChar">
    <w:name w:val="z-Top of Form Char"/>
    <w:basedOn w:val="DefaultParagraphFont"/>
    <w:link w:val="z-TopofForm"/>
    <w:uiPriority w:val="99"/>
    <w:semiHidden/>
    <w:rsid w:val="004B0E92"/>
    <w:rPr>
      <w:rFonts w:ascii="Arial" w:eastAsia="SimSun" w:hAnsi="Arial"/>
      <w:vanish/>
      <w:sz w:val="16"/>
      <w:szCs w:val="16"/>
    </w:rPr>
  </w:style>
  <w:style w:type="paragraph" w:styleId="TOCHeading">
    <w:name w:val="TOC Heading"/>
    <w:basedOn w:val="Heading1"/>
    <w:next w:val="Normal"/>
    <w:uiPriority w:val="39"/>
    <w:semiHidden/>
    <w:unhideWhenUsed/>
    <w:qFormat/>
    <w:rsid w:val="004B0E92"/>
    <w:pPr>
      <w:keepLines/>
      <w:spacing w:before="480" w:line="276" w:lineRule="auto"/>
      <w:outlineLvl w:val="9"/>
    </w:pPr>
    <w:rPr>
      <w:rFonts w:ascii="Cambria" w:eastAsia="MS Gothic" w:hAnsi="Cambria"/>
      <w:color w:val="365F91"/>
      <w:szCs w:val="28"/>
      <w:lang w:eastAsia="ja-JP"/>
    </w:rPr>
  </w:style>
  <w:style w:type="paragraph" w:customStyle="1" w:styleId="Bullet">
    <w:name w:val="Bullet"/>
    <w:basedOn w:val="Normal"/>
    <w:rsid w:val="004B0E92"/>
    <w:pPr>
      <w:numPr>
        <w:numId w:val="19"/>
      </w:numPr>
      <w:spacing w:before="10" w:after="60"/>
    </w:pPr>
    <w:rPr>
      <w:rFonts w:ascii="Arial" w:eastAsia="SimSun" w:hAnsi="Arial" w:cs="Arial"/>
    </w:rPr>
  </w:style>
  <w:style w:type="character" w:customStyle="1" w:styleId="text-italic1">
    <w:name w:val="text-italic1"/>
    <w:rsid w:val="004B0E92"/>
    <w:rPr>
      <w:i/>
      <w:iCs/>
    </w:rPr>
  </w:style>
  <w:style w:type="paragraph" w:customStyle="1" w:styleId="heading30">
    <w:name w:val="heading3"/>
    <w:basedOn w:val="Normal"/>
    <w:rsid w:val="004B0E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s://www.mdek12.org/sites/default/files/documents/MBE/MBE%20-%202017%20(1)/tab-07-ell-exit-criteria-backu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2" ma:contentTypeDescription="Create a new document." ma:contentTypeScope="" ma:versionID="897b7457db651517113fcc34447d3752">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b2b3730a5bf10d3b5bd2eb7014cd6a3c"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McKinney, Jessica</DisplayName>
        <AccountId>76</AccountId>
        <AccountType/>
      </UserInfo>
      <UserInfo>
        <DisplayName>Weigert, Susan</DisplayName>
        <AccountId>296</AccountId>
        <AccountType/>
      </UserInfo>
      <UserInfo>
        <DisplayName>Peasley, Donald</DisplayName>
        <AccountId>197</AccountId>
        <AccountType/>
      </UserInfo>
      <UserInfo>
        <DisplayName>Sadeghi, Lisa</DisplayName>
        <AccountId>221</AccountId>
        <AccountType/>
      </UserInfo>
      <UserInfo>
        <DisplayName>Rigling, Kay</DisplayName>
        <AccountId>339</AccountId>
        <AccountType/>
      </UserInfo>
      <UserInfo>
        <DisplayName>Liu, Rebecca</DisplayName>
        <AccountId>2446</AccountId>
        <AccountType/>
      </UserInfo>
      <UserInfo>
        <DisplayName>Simons, Jane</DisplayName>
        <AccountId>370</AccountId>
        <AccountType/>
      </UserInfo>
      <UserInfo>
        <DisplayName>Martin, Jill</DisplayName>
        <AccountId>369</AccountId>
        <AccountType/>
      </UserInfo>
      <UserInfo>
        <DisplayName>Calderon, Brenda</DisplayName>
        <AccountId>215</AccountId>
        <AccountType/>
      </UserInfo>
      <UserInfo>
        <DisplayName>Anand, Supreet</DisplayName>
        <AccountId>317</AccountId>
        <AccountType/>
      </UserInfo>
      <UserInfo>
        <DisplayName>Shackel, Erin</DisplayName>
        <AccountId>130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9F47-EB80-4FFC-9E7E-AF99B6F2B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B725D-14EE-4194-9E14-9EAB6ECF667E}">
  <ds:schemaRefs>
    <ds:schemaRef ds:uri="http://purl.org/dc/elements/1.1/"/>
    <ds:schemaRef ds:uri="http://purl.org/dc/terms/"/>
    <ds:schemaRef ds:uri="http://schemas.openxmlformats.org/package/2006/metadata/core-properties"/>
    <ds:schemaRef ds:uri="http://www.w3.org/XML/1998/namespace"/>
    <ds:schemaRef ds:uri="ffcb171c-5eb6-4b7e-bff7-850b4441ed9e"/>
    <ds:schemaRef ds:uri="http://schemas.microsoft.com/office/2006/documentManagement/types"/>
    <ds:schemaRef ds:uri="64091b8c-7f76-4970-83c0-45597c814118"/>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4.xml><?xml version="1.0" encoding="utf-8"?>
<ds:datastoreItem xmlns:ds="http://schemas.openxmlformats.org/officeDocument/2006/customXml" ds:itemID="{C6D6343B-CA36-4DA0-802B-F2C1F154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15867</Words>
  <Characters>90445</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19-003203-OK.letter</vt:lpstr>
    </vt:vector>
  </TitlesOfParts>
  <Company>U.S. Department of Education</Company>
  <LinksUpToDate>false</LinksUpToDate>
  <CharactersWithSpaces>106100</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19-003203-OK.letter</dc:title>
  <dc:creator>robert.stonehill</dc:creator>
  <cp:lastModifiedBy>Peasley, Donald</cp:lastModifiedBy>
  <cp:revision>5</cp:revision>
  <cp:lastPrinted>2019-03-20T13:55:00Z</cp:lastPrinted>
  <dcterms:created xsi:type="dcterms:W3CDTF">2020-03-31T15:28:00Z</dcterms:created>
  <dcterms:modified xsi:type="dcterms:W3CDTF">2020-03-31T15:32:00Z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