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84BE" w14:textId="5AB527BE" w:rsidR="00D64C0F" w:rsidRPr="0059020F" w:rsidRDefault="00D64C0F" w:rsidP="00D64C0F">
      <w:pPr>
        <w:spacing w:before="0" w:after="160" w:line="259" w:lineRule="auto"/>
        <w:rPr>
          <w:rFonts w:ascii="Verdana" w:hAnsi="Verdana"/>
          <w:b/>
          <w:bCs/>
          <w:noProof/>
          <w:sz w:val="28"/>
          <w:szCs w:val="28"/>
        </w:rPr>
      </w:pPr>
      <w:bookmarkStart w:id="0" w:name="_Hlk19277662"/>
      <w:bookmarkStart w:id="1" w:name="_GoBack"/>
      <w:bookmarkEnd w:id="1"/>
      <w:r w:rsidRPr="0059020F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 wp14:anchorId="5B176B0A" wp14:editId="2C723CE5">
                <wp:simplePos x="0" y="0"/>
                <wp:positionH relativeFrom="page">
                  <wp:posOffset>489585</wp:posOffset>
                </wp:positionH>
                <wp:positionV relativeFrom="margin">
                  <wp:posOffset>-43172</wp:posOffset>
                </wp:positionV>
                <wp:extent cx="2695575" cy="5283200"/>
                <wp:effectExtent l="0" t="0" r="9525" b="0"/>
                <wp:wrapSquare wrapText="bothSides"/>
                <wp:docPr id="8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95575" cy="5283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73A174" w14:textId="77777777" w:rsidR="00D64C0F" w:rsidRPr="00DA7048" w:rsidRDefault="00D64C0F" w:rsidP="00D64C0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Grante</w:t>
                            </w:r>
                            <w:r w:rsidRPr="00DA704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14:paraId="0F05988A" w14:textId="77777777" w:rsidR="00D64C0F" w:rsidRPr="00C51623" w:rsidRDefault="00D64C0F" w:rsidP="00D64C0F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Mathematics, Science, and Technology Charter School 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MaST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4B99EDA" w14:textId="77777777" w:rsidR="00D64C0F" w:rsidRDefault="00D64C0F" w:rsidP="00D64C0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0FFE4B" w14:textId="77777777" w:rsidR="00D64C0F" w:rsidRDefault="00D64C0F" w:rsidP="00D64C0F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566C0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PR Award Number:</w:t>
                            </w:r>
                          </w:p>
                          <w:p w14:paraId="409B48B4" w14:textId="77777777" w:rsidR="00D64C0F" w:rsidRPr="008003A9" w:rsidRDefault="00D64C0F" w:rsidP="00D64C0F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8003A9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282E190024</w:t>
                            </w:r>
                          </w:p>
                          <w:p w14:paraId="204109D8" w14:textId="77777777" w:rsidR="00D64C0F" w:rsidRDefault="00D64C0F" w:rsidP="00D64C0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235EE2" w14:textId="77777777" w:rsidR="00D64C0F" w:rsidRDefault="00D64C0F" w:rsidP="00D64C0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Duration (Years):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39FC05E1" w14:textId="77777777" w:rsidR="00D64C0F" w:rsidRPr="004F5221" w:rsidRDefault="00D64C0F" w:rsidP="00D64C0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47A534B" w14:textId="77777777" w:rsidR="00D64C0F" w:rsidRDefault="00D64C0F" w:rsidP="00D64C0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Year 1 Funding:</w:t>
                            </w:r>
                          </w:p>
                          <w:p w14:paraId="33DA33D2" w14:textId="77777777" w:rsidR="00D64C0F" w:rsidRDefault="00D64C0F" w:rsidP="00D64C0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756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275,000</w:t>
                            </w:r>
                          </w:p>
                          <w:p w14:paraId="5502D561" w14:textId="77777777" w:rsidR="00D64C0F" w:rsidRDefault="00D64C0F" w:rsidP="00D64C0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C0DF20" w14:textId="77777777" w:rsidR="00D64C0F" w:rsidRDefault="00D64C0F" w:rsidP="00D64C0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Total Expected Funding:</w:t>
                            </w:r>
                          </w:p>
                          <w:p w14:paraId="4A3CB640" w14:textId="77777777" w:rsidR="00D64C0F" w:rsidRPr="00BB558D" w:rsidRDefault="00D64C0F" w:rsidP="00D64C0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22A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1,345,000</w:t>
                            </w:r>
                          </w:p>
                          <w:p w14:paraId="1628971C" w14:textId="77777777" w:rsidR="00D64C0F" w:rsidRPr="00C51623" w:rsidRDefault="00D64C0F" w:rsidP="00D64C0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E39C931" w14:textId="77777777" w:rsidR="00D64C0F" w:rsidRDefault="00D64C0F" w:rsidP="00D64C0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MaST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Charter School:</w:t>
                            </w:r>
                          </w:p>
                          <w:p w14:paraId="79E8233B" w14:textId="77777777" w:rsidR="00D64C0F" w:rsidRPr="005203C1" w:rsidRDefault="00D64C0F" w:rsidP="00D64C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16E2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1800 E. Byberry Road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Philadelphia, PA 19116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76B0A" id="Rectangle 397" o:spid="_x0000_s1026" style="position:absolute;margin-left:38.55pt;margin-top:-3.4pt;width:212.25pt;height:416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" o:allowincell="f" fillcolor="#f2f2f2" stroked="f" strokeweight="2pt">
                <v:textbox inset="21.6pt,21.6pt,21.6pt,21.6pt">
                  <w:txbxContent>
                    <w:p w14:paraId="2073A174" w14:textId="77777777" w:rsidR="00D64C0F" w:rsidRPr="00DA7048" w:rsidRDefault="00D64C0F" w:rsidP="00D64C0F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Grante</w:t>
                      </w:r>
                      <w:r w:rsidRPr="00DA704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e:</w:t>
                      </w:r>
                    </w:p>
                    <w:p w14:paraId="0F05988A" w14:textId="77777777" w:rsidR="00D64C0F" w:rsidRPr="00C51623" w:rsidRDefault="00D64C0F" w:rsidP="00D64C0F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Mathematics, Science, and Technology Charter School (</w:t>
                      </w:r>
                      <w:proofErr w:type="spellStart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MaST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64B99EDA" w14:textId="77777777" w:rsidR="00D64C0F" w:rsidRDefault="00D64C0F" w:rsidP="00D64C0F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00FFE4B" w14:textId="77777777" w:rsidR="00D64C0F" w:rsidRDefault="00D64C0F" w:rsidP="00D64C0F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566C0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PR Award Number:</w:t>
                      </w:r>
                    </w:p>
                    <w:p w14:paraId="409B48B4" w14:textId="77777777" w:rsidR="00D64C0F" w:rsidRPr="008003A9" w:rsidRDefault="00D64C0F" w:rsidP="00D64C0F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S</w:t>
                      </w:r>
                      <w:r w:rsidRPr="008003A9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282E190024</w:t>
                      </w:r>
                    </w:p>
                    <w:p w14:paraId="204109D8" w14:textId="77777777" w:rsidR="00D64C0F" w:rsidRDefault="00D64C0F" w:rsidP="00D64C0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7A235EE2" w14:textId="77777777" w:rsidR="00D64C0F" w:rsidRDefault="00D64C0F" w:rsidP="00D64C0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Duration (Years):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5</w:t>
                      </w:r>
                    </w:p>
                    <w:p w14:paraId="39FC05E1" w14:textId="77777777" w:rsidR="00D64C0F" w:rsidRPr="004F5221" w:rsidRDefault="00D64C0F" w:rsidP="00D64C0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47A534B" w14:textId="77777777" w:rsidR="00D64C0F" w:rsidRDefault="00D64C0F" w:rsidP="00D64C0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Year 1 Funding:</w:t>
                      </w:r>
                    </w:p>
                    <w:p w14:paraId="33DA33D2" w14:textId="77777777" w:rsidR="00D64C0F" w:rsidRDefault="00D64C0F" w:rsidP="00D64C0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75663">
                        <w:rPr>
                          <w:rFonts w:ascii="Verdana" w:hAnsi="Verdana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275,000</w:t>
                      </w:r>
                    </w:p>
                    <w:p w14:paraId="5502D561" w14:textId="77777777" w:rsidR="00D64C0F" w:rsidRDefault="00D64C0F" w:rsidP="00D64C0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8C0DF20" w14:textId="77777777" w:rsidR="00D64C0F" w:rsidRDefault="00D64C0F" w:rsidP="00D64C0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Total Expected Funding:</w:t>
                      </w:r>
                    </w:p>
                    <w:p w14:paraId="4A3CB640" w14:textId="77777777" w:rsidR="00D64C0F" w:rsidRPr="00BB558D" w:rsidRDefault="00D64C0F" w:rsidP="00D64C0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22AF9">
                        <w:rPr>
                          <w:rFonts w:ascii="Verdana" w:hAnsi="Verdana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1,345,000</w:t>
                      </w:r>
                    </w:p>
                    <w:p w14:paraId="1628971C" w14:textId="77777777" w:rsidR="00D64C0F" w:rsidRPr="00C51623" w:rsidRDefault="00D64C0F" w:rsidP="00D64C0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E39C931" w14:textId="77777777" w:rsidR="00D64C0F" w:rsidRDefault="00D64C0F" w:rsidP="00D64C0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MaST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Charter School:</w:t>
                      </w:r>
                    </w:p>
                    <w:p w14:paraId="79E8233B" w14:textId="77777777" w:rsidR="00D64C0F" w:rsidRPr="005203C1" w:rsidRDefault="00D64C0F" w:rsidP="00D64C0F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16E21">
                        <w:rPr>
                          <w:rFonts w:ascii="Verdana" w:hAnsi="Verdana"/>
                          <w:sz w:val="20"/>
                          <w:szCs w:val="20"/>
                        </w:rPr>
                        <w:t>1800 E. Byberry Road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Philadelphia, PA 19116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</w:rPr>
        <w:t>Mathematics, Science, and Technology Charter School (MaST)</w:t>
      </w:r>
    </w:p>
    <w:p w14:paraId="649D6608" w14:textId="77777777" w:rsidR="00D64C0F" w:rsidRDefault="00D64C0F" w:rsidP="00D64C0F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 w:rsidRPr="009162FC">
        <w:rPr>
          <w:rFonts w:ascii="Verdana" w:hAnsi="Verdana"/>
          <w:bCs/>
          <w:noProof/>
          <w:sz w:val="20"/>
          <w:szCs w:val="20"/>
        </w:rPr>
        <w:t>MaST Schools currently serves more than 2,000 students in Philadelphia across two Title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9162FC">
        <w:rPr>
          <w:rFonts w:ascii="Verdana" w:hAnsi="Verdana"/>
          <w:bCs/>
          <w:noProof/>
          <w:sz w:val="20"/>
          <w:szCs w:val="20"/>
        </w:rPr>
        <w:t>I schools. The MaST model has been recognized for high achievement and was named a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9162FC">
        <w:rPr>
          <w:rFonts w:ascii="Verdana" w:hAnsi="Verdana"/>
          <w:bCs/>
          <w:noProof/>
          <w:sz w:val="20"/>
          <w:szCs w:val="20"/>
        </w:rPr>
        <w:t>National Blue Ribbon winner in 2017. MaST Schools now serves 41 Philadelphia zip codes with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9162FC">
        <w:rPr>
          <w:rFonts w:ascii="Verdana" w:hAnsi="Verdana"/>
          <w:bCs/>
          <w:noProof/>
          <w:sz w:val="20"/>
          <w:szCs w:val="20"/>
        </w:rPr>
        <w:t>a focus on educating low-income students from communities that need more high-quality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9162FC">
        <w:rPr>
          <w:rFonts w:ascii="Verdana" w:hAnsi="Verdana"/>
          <w:bCs/>
          <w:noProof/>
          <w:sz w:val="20"/>
          <w:szCs w:val="20"/>
        </w:rPr>
        <w:t xml:space="preserve">options. </w:t>
      </w:r>
    </w:p>
    <w:p w14:paraId="05602829" w14:textId="77777777" w:rsidR="00D64C0F" w:rsidRDefault="00D64C0F" w:rsidP="00D64C0F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54F16BE9" w14:textId="77777777" w:rsidR="00D64C0F" w:rsidRDefault="00D64C0F" w:rsidP="00D64C0F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 w:rsidRPr="009162FC">
        <w:rPr>
          <w:rFonts w:ascii="Verdana" w:hAnsi="Verdana"/>
          <w:bCs/>
          <w:noProof/>
          <w:sz w:val="20"/>
          <w:szCs w:val="20"/>
        </w:rPr>
        <w:t>In the 2019/2020 school year, MaST III, a brand new school, will be opening with 900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9162FC">
        <w:rPr>
          <w:rFonts w:ascii="Verdana" w:hAnsi="Verdana"/>
          <w:bCs/>
          <w:noProof/>
          <w:sz w:val="20"/>
          <w:szCs w:val="20"/>
        </w:rPr>
        <w:t xml:space="preserve">students and growing to 1300 seats. </w:t>
      </w:r>
      <w:r>
        <w:rPr>
          <w:rFonts w:ascii="Verdana" w:hAnsi="Verdana"/>
          <w:bCs/>
          <w:noProof/>
          <w:sz w:val="20"/>
          <w:szCs w:val="20"/>
        </w:rPr>
        <w:t>Fifty percent o</w:t>
      </w:r>
      <w:r w:rsidRPr="009162FC">
        <w:rPr>
          <w:rFonts w:ascii="Verdana" w:hAnsi="Verdana"/>
          <w:bCs/>
          <w:noProof/>
          <w:sz w:val="20"/>
          <w:szCs w:val="20"/>
        </w:rPr>
        <w:t>f MaST III’s student population is enrolled from four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9162FC">
        <w:rPr>
          <w:rFonts w:ascii="Verdana" w:hAnsi="Verdana"/>
          <w:bCs/>
          <w:noProof/>
          <w:sz w:val="20"/>
          <w:szCs w:val="20"/>
        </w:rPr>
        <w:t>zip codes that the School District has identified as high need attendance zones. The goal of this project is to replicate the innovative and inspiring MaST model that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9162FC">
        <w:rPr>
          <w:rFonts w:ascii="Verdana" w:hAnsi="Verdana"/>
          <w:bCs/>
          <w:noProof/>
          <w:sz w:val="20"/>
          <w:szCs w:val="20"/>
        </w:rPr>
        <w:t xml:space="preserve">prepares students from Kindergarten to post-secondary opportunities. </w:t>
      </w:r>
    </w:p>
    <w:p w14:paraId="4CC59A44" w14:textId="77777777" w:rsidR="00D64C0F" w:rsidRDefault="00D64C0F" w:rsidP="00D64C0F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53BC0DA0" w14:textId="77777777" w:rsidR="00D64C0F" w:rsidRDefault="00D64C0F" w:rsidP="00D64C0F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 w:rsidRPr="009162FC">
        <w:rPr>
          <w:rFonts w:ascii="Verdana" w:hAnsi="Verdana"/>
          <w:bCs/>
          <w:noProof/>
          <w:sz w:val="20"/>
          <w:szCs w:val="20"/>
        </w:rPr>
        <w:t>The MaST model focuses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9162FC">
        <w:rPr>
          <w:rFonts w:ascii="Verdana" w:hAnsi="Verdana"/>
          <w:bCs/>
          <w:noProof/>
          <w:sz w:val="20"/>
          <w:szCs w:val="20"/>
        </w:rPr>
        <w:t>on 7 core initiatives: Student-Centered Classrooms; Well Trained Talent; STREAM-Infused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9162FC">
        <w:rPr>
          <w:rFonts w:ascii="Verdana" w:hAnsi="Verdana"/>
          <w:bCs/>
          <w:noProof/>
          <w:sz w:val="20"/>
          <w:szCs w:val="20"/>
        </w:rPr>
        <w:t>Curriculum; Innovative World-Class Facilities; Technology; Climate &amp; Culture; and Community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9162FC">
        <w:rPr>
          <w:rFonts w:ascii="Verdana" w:hAnsi="Verdana"/>
          <w:bCs/>
          <w:noProof/>
          <w:sz w:val="20"/>
          <w:szCs w:val="20"/>
        </w:rPr>
        <w:t>Engagement. MaST III would like to expedite the timing to replicate many of the MaST Success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9162FC">
        <w:rPr>
          <w:rFonts w:ascii="Verdana" w:hAnsi="Verdana"/>
          <w:bCs/>
          <w:noProof/>
          <w:sz w:val="20"/>
          <w:szCs w:val="20"/>
        </w:rPr>
        <w:t xml:space="preserve">Elements to provide the same high-quality standard of education </w:t>
      </w:r>
      <w:r>
        <w:rPr>
          <w:rFonts w:ascii="Verdana" w:hAnsi="Verdana"/>
          <w:bCs/>
          <w:noProof/>
          <w:sz w:val="20"/>
          <w:szCs w:val="20"/>
        </w:rPr>
        <w:t xml:space="preserve">the </w:t>
      </w:r>
      <w:r w:rsidRPr="009162FC">
        <w:rPr>
          <w:rFonts w:ascii="Verdana" w:hAnsi="Verdana"/>
          <w:bCs/>
          <w:noProof/>
          <w:sz w:val="20"/>
          <w:szCs w:val="20"/>
        </w:rPr>
        <w:t>current students experience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9162FC">
        <w:rPr>
          <w:rFonts w:ascii="Verdana" w:hAnsi="Verdana"/>
          <w:bCs/>
          <w:noProof/>
          <w:sz w:val="20"/>
          <w:szCs w:val="20"/>
        </w:rPr>
        <w:t>and all students in Philadelphia deserve.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9162FC">
        <w:rPr>
          <w:rFonts w:ascii="Verdana" w:hAnsi="Verdana"/>
          <w:bCs/>
          <w:noProof/>
          <w:sz w:val="20"/>
          <w:szCs w:val="20"/>
        </w:rPr>
        <w:t>The grant funds will purchase Technology, Library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9162FC">
        <w:rPr>
          <w:rFonts w:ascii="Verdana" w:hAnsi="Verdana"/>
          <w:bCs/>
          <w:noProof/>
          <w:sz w:val="20"/>
          <w:szCs w:val="20"/>
        </w:rPr>
        <w:t>Resources, and High School Furniture.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</w:p>
    <w:p w14:paraId="706394AE" w14:textId="77777777" w:rsidR="00D64C0F" w:rsidRDefault="00D64C0F" w:rsidP="00D64C0F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374BC415" w14:textId="77777777" w:rsidR="00D64C0F" w:rsidRDefault="00D64C0F" w:rsidP="00D64C0F">
      <w:pPr>
        <w:spacing w:before="0" w:line="240" w:lineRule="auto"/>
        <w:jc w:val="both"/>
        <w:rPr>
          <w:rFonts w:ascii="Verdana" w:hAnsi="Verdana"/>
          <w:b/>
          <w:noProof/>
          <w:sz w:val="20"/>
          <w:szCs w:val="20"/>
        </w:rPr>
      </w:pPr>
    </w:p>
    <w:p w14:paraId="70AE309E" w14:textId="77777777" w:rsidR="00D64C0F" w:rsidRPr="002B2895" w:rsidRDefault="00D64C0F" w:rsidP="00D64C0F">
      <w:pPr>
        <w:spacing w:before="0" w:line="24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2B2895">
        <w:rPr>
          <w:rFonts w:ascii="Verdana" w:hAnsi="Verdana"/>
          <w:b/>
          <w:noProof/>
          <w:sz w:val="20"/>
          <w:szCs w:val="20"/>
        </w:rPr>
        <w:t>Anticipated Project Outcomes:</w:t>
      </w:r>
    </w:p>
    <w:p w14:paraId="658C192E" w14:textId="77777777" w:rsidR="00D64C0F" w:rsidRDefault="00D64C0F" w:rsidP="00D64C0F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rFonts w:ascii="Verdana" w:hAnsi="Verdana"/>
          <w:bCs/>
          <w:noProof/>
          <w:sz w:val="20"/>
          <w:szCs w:val="20"/>
        </w:rPr>
      </w:pPr>
      <w:r w:rsidRPr="00A33667">
        <w:rPr>
          <w:rFonts w:ascii="Verdana" w:hAnsi="Verdana"/>
          <w:bCs/>
          <w:noProof/>
          <w:sz w:val="20"/>
          <w:szCs w:val="20"/>
        </w:rPr>
        <w:t>MaST III will demonstrate a 3% increase in PSSA scores for year 2 after a baseline is determined in year 1.</w:t>
      </w:r>
    </w:p>
    <w:p w14:paraId="4AAED63F" w14:textId="77777777" w:rsidR="00D64C0F" w:rsidRDefault="00D64C0F" w:rsidP="00D64C0F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rFonts w:ascii="Verdana" w:hAnsi="Verdana"/>
          <w:bCs/>
          <w:noProof/>
          <w:sz w:val="20"/>
          <w:szCs w:val="20"/>
        </w:rPr>
      </w:pPr>
      <w:r w:rsidRPr="00A33667">
        <w:rPr>
          <w:rFonts w:ascii="Verdana" w:hAnsi="Verdana"/>
          <w:bCs/>
          <w:noProof/>
          <w:sz w:val="20"/>
          <w:szCs w:val="20"/>
        </w:rPr>
        <w:t>MaST III will maintain average attendance of 91% or higher.</w:t>
      </w:r>
    </w:p>
    <w:p w14:paraId="305E153D" w14:textId="77777777" w:rsidR="00D64C0F" w:rsidRDefault="00D64C0F" w:rsidP="00D64C0F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rFonts w:ascii="Verdana" w:hAnsi="Verdana"/>
          <w:bCs/>
          <w:noProof/>
          <w:sz w:val="20"/>
          <w:szCs w:val="20"/>
        </w:rPr>
      </w:pPr>
      <w:r w:rsidRPr="00A33667">
        <w:rPr>
          <w:rFonts w:ascii="Verdana" w:hAnsi="Verdana"/>
          <w:bCs/>
          <w:noProof/>
          <w:sz w:val="20"/>
          <w:szCs w:val="20"/>
        </w:rPr>
        <w:t>MaST III will maintain suspensions below 4% of the student population for the school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A33667">
        <w:rPr>
          <w:rFonts w:ascii="Verdana" w:hAnsi="Verdana"/>
          <w:bCs/>
          <w:noProof/>
          <w:sz w:val="20"/>
          <w:szCs w:val="20"/>
        </w:rPr>
        <w:t>year.</w:t>
      </w:r>
    </w:p>
    <w:p w14:paraId="2461A3A6" w14:textId="77777777" w:rsidR="00D64C0F" w:rsidRDefault="00D64C0F" w:rsidP="00D64C0F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rFonts w:ascii="Verdana" w:hAnsi="Verdana"/>
          <w:bCs/>
          <w:noProof/>
          <w:sz w:val="20"/>
          <w:szCs w:val="20"/>
        </w:rPr>
      </w:pPr>
      <w:r w:rsidRPr="00A33667">
        <w:rPr>
          <w:rFonts w:ascii="Verdana" w:hAnsi="Verdana"/>
          <w:bCs/>
          <w:noProof/>
          <w:sz w:val="20"/>
          <w:szCs w:val="20"/>
        </w:rPr>
        <w:t>MaST III will maintain full 100% enrollment each year.</w:t>
      </w:r>
    </w:p>
    <w:p w14:paraId="50CFCCA7" w14:textId="77777777" w:rsidR="00D64C0F" w:rsidRDefault="00D64C0F" w:rsidP="00D64C0F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rFonts w:ascii="Verdana" w:hAnsi="Verdana"/>
          <w:bCs/>
          <w:noProof/>
          <w:sz w:val="20"/>
          <w:szCs w:val="20"/>
        </w:rPr>
      </w:pPr>
      <w:r w:rsidRPr="00A33667">
        <w:rPr>
          <w:rFonts w:ascii="Verdana" w:hAnsi="Verdana"/>
          <w:bCs/>
          <w:noProof/>
          <w:sz w:val="20"/>
          <w:szCs w:val="20"/>
        </w:rPr>
        <w:t>MaST III will increase the number of extracurricular activities offered each year by 4.</w:t>
      </w:r>
    </w:p>
    <w:p w14:paraId="4EEB0918" w14:textId="77777777" w:rsidR="00D64C0F" w:rsidRDefault="00D64C0F" w:rsidP="00D64C0F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rFonts w:ascii="Verdana" w:hAnsi="Verdana"/>
          <w:bCs/>
          <w:noProof/>
          <w:sz w:val="20"/>
          <w:szCs w:val="20"/>
        </w:rPr>
      </w:pPr>
      <w:r w:rsidRPr="00A33667">
        <w:rPr>
          <w:rFonts w:ascii="Verdana" w:hAnsi="Verdana"/>
          <w:bCs/>
          <w:noProof/>
          <w:sz w:val="20"/>
          <w:szCs w:val="20"/>
        </w:rPr>
        <w:t>MaST III will maintain 95% or higher of highly qualified teaching staff.</w:t>
      </w:r>
    </w:p>
    <w:p w14:paraId="29C8C32C" w14:textId="77777777" w:rsidR="00D64C0F" w:rsidRPr="00A33667" w:rsidRDefault="00D64C0F" w:rsidP="00D64C0F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rFonts w:ascii="Verdana" w:hAnsi="Verdana"/>
          <w:bCs/>
          <w:noProof/>
          <w:sz w:val="20"/>
          <w:szCs w:val="20"/>
        </w:rPr>
      </w:pPr>
      <w:r w:rsidRPr="00A33667">
        <w:rPr>
          <w:rFonts w:ascii="Verdana" w:hAnsi="Verdana"/>
          <w:bCs/>
          <w:noProof/>
          <w:sz w:val="20"/>
          <w:szCs w:val="20"/>
        </w:rPr>
        <w:t>MaST III will establish a functioning parent group.</w:t>
      </w:r>
    </w:p>
    <w:p w14:paraId="15F44694" w14:textId="77777777" w:rsidR="00D64C0F" w:rsidRDefault="00D64C0F" w:rsidP="00D64C0F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 w:rsidRPr="008C727E">
        <w:rPr>
          <w:rFonts w:ascii="Verdana" w:hAnsi="Verdana"/>
          <w:bCs/>
          <w:noProof/>
          <w:sz w:val="20"/>
          <w:szCs w:val="20"/>
        </w:rPr>
        <w:t xml:space="preserve"> </w:t>
      </w:r>
    </w:p>
    <w:bookmarkEnd w:id="0"/>
    <w:p w14:paraId="57445C34" w14:textId="77777777" w:rsidR="00D64C0F" w:rsidRDefault="00D64C0F" w:rsidP="00D64C0F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749218D2" w14:textId="77777777" w:rsidR="00D64C0F" w:rsidRDefault="00D64C0F" w:rsidP="00D64C0F">
      <w:pPr>
        <w:spacing w:before="0" w:after="160" w:line="259" w:lineRule="auto"/>
        <w:rPr>
          <w:rFonts w:ascii="Garamond" w:hAnsi="Garamond"/>
          <w:sz w:val="24"/>
        </w:rPr>
      </w:pPr>
    </w:p>
    <w:p w14:paraId="170A213C" w14:textId="23CF19A4" w:rsidR="00AB6082" w:rsidRPr="001C57FB" w:rsidRDefault="00D64C0F" w:rsidP="00D64C0F">
      <w:r>
        <w:rPr>
          <w:rFonts w:ascii="Garamond" w:hAnsi="Garamond"/>
          <w:sz w:val="24"/>
        </w:rPr>
        <w:tab/>
      </w:r>
    </w:p>
    <w:sectPr w:rsidR="00AB6082" w:rsidRPr="001C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310BD" w14:textId="77777777" w:rsidR="00D64C0F" w:rsidRDefault="00D64C0F" w:rsidP="00D64C0F">
      <w:pPr>
        <w:spacing w:before="0" w:line="240" w:lineRule="auto"/>
      </w:pPr>
      <w:r>
        <w:separator/>
      </w:r>
    </w:p>
  </w:endnote>
  <w:endnote w:type="continuationSeparator" w:id="0">
    <w:p w14:paraId="07F5936E" w14:textId="77777777" w:rsidR="00D64C0F" w:rsidRDefault="00D64C0F" w:rsidP="00D64C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DC362" w14:textId="77777777" w:rsidR="00D64C0F" w:rsidRDefault="00D64C0F" w:rsidP="00D64C0F">
      <w:pPr>
        <w:spacing w:before="0" w:line="240" w:lineRule="auto"/>
      </w:pPr>
      <w:r>
        <w:separator/>
      </w:r>
    </w:p>
  </w:footnote>
  <w:footnote w:type="continuationSeparator" w:id="0">
    <w:p w14:paraId="542CCBF7" w14:textId="77777777" w:rsidR="00D64C0F" w:rsidRDefault="00D64C0F" w:rsidP="00D64C0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325F"/>
    <w:multiLevelType w:val="hybridMultilevel"/>
    <w:tmpl w:val="33C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1427D"/>
    <w:multiLevelType w:val="hybridMultilevel"/>
    <w:tmpl w:val="D6A0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C8"/>
    <w:rsid w:val="00040628"/>
    <w:rsid w:val="000A5CA4"/>
    <w:rsid w:val="00174DA9"/>
    <w:rsid w:val="001C57FB"/>
    <w:rsid w:val="00214D9C"/>
    <w:rsid w:val="003E48E4"/>
    <w:rsid w:val="004F0E3E"/>
    <w:rsid w:val="0067259C"/>
    <w:rsid w:val="008C7214"/>
    <w:rsid w:val="00D64C0F"/>
    <w:rsid w:val="00DA0FC8"/>
    <w:rsid w:val="00DB75F1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73B1"/>
  <w15:chartTrackingRefBased/>
  <w15:docId w15:val="{6FFB0B9D-AB25-42C7-B518-07B9CC08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C8"/>
    <w:pPr>
      <w:spacing w:before="120" w:after="0" w:line="276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NewPage">
    <w:name w:val="H1 - New Page"/>
    <w:basedOn w:val="Heading1"/>
    <w:link w:val="H1-NewPageChar"/>
    <w:qFormat/>
    <w:rsid w:val="00DA0FC8"/>
    <w:pPr>
      <w:keepLines w:val="0"/>
      <w:pBdr>
        <w:top w:val="single" w:sz="12" w:space="1" w:color="auto"/>
        <w:bottom w:val="single" w:sz="12" w:space="1" w:color="auto"/>
      </w:pBdr>
      <w:shd w:val="clear" w:color="auto" w:fill="FFFFFF" w:themeFill="background1"/>
      <w:spacing w:before="0" w:after="120" w:line="240" w:lineRule="auto"/>
      <w:ind w:firstLine="86"/>
    </w:pPr>
    <w:rPr>
      <w:rFonts w:ascii="Times New Roman" w:eastAsia="Times New Roman" w:hAnsi="Times New Roman" w:cs="Arial"/>
      <w:b/>
      <w:bCs/>
      <w:smallCaps/>
      <w:sz w:val="24"/>
      <w:szCs w:val="24"/>
    </w:rPr>
  </w:style>
  <w:style w:type="character" w:customStyle="1" w:styleId="H1-NewPageChar">
    <w:name w:val="H1 - New Page Char"/>
    <w:basedOn w:val="Heading1Char"/>
    <w:link w:val="H1-NewPage"/>
    <w:rsid w:val="00DA0FC8"/>
    <w:rPr>
      <w:rFonts w:ascii="Times New Roman" w:eastAsia="Times New Roman" w:hAnsi="Times New Roman" w:cs="Arial"/>
      <w:b/>
      <w:bCs/>
      <w:smallCaps/>
      <w:color w:val="2F5496" w:themeColor="accent1" w:themeShade="BF"/>
      <w:sz w:val="24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A0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5CA4"/>
    <w:pPr>
      <w:spacing w:after="200"/>
      <w:ind w:left="720"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D64C0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C0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0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72f0091d499a41912448b9e7f171eb73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4588bcec058c1be9b0e15951156a0966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1D33A-7AC5-4165-965A-004E94F7F192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87c7b8b-c0e7-4b77-a067-2c707fd1239f"/>
    <ds:schemaRef ds:uri="http://schemas.microsoft.com/office/infopath/2007/PartnerControls"/>
    <ds:schemaRef ds:uri="http://purl.org/dc/terms/"/>
    <ds:schemaRef ds:uri="02e41e38-1731-4866-b09a-6257d8bc047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CD8F4D-07D0-4AD3-9716-298CF0C61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2F963-2030-4ECD-B406-171B99EC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Neseth, Hans</dc:creator>
  <cp:keywords/>
  <dc:description/>
  <cp:lastModifiedBy>Ford, Cheryl</cp:lastModifiedBy>
  <cp:revision>2</cp:revision>
  <dcterms:created xsi:type="dcterms:W3CDTF">2019-11-01T12:51:00Z</dcterms:created>
  <dcterms:modified xsi:type="dcterms:W3CDTF">2019-11-01T12:51:00Z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