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CDE1" w14:textId="77777777" w:rsidR="00D66CA3" w:rsidRPr="0059020F" w:rsidRDefault="00D66CA3" w:rsidP="00D66CA3">
      <w:pPr>
        <w:spacing w:before="0" w:after="160" w:line="259" w:lineRule="auto"/>
        <w:ind w:left="4320"/>
        <w:rPr>
          <w:rFonts w:ascii="Verdana" w:hAnsi="Verdana"/>
          <w:b/>
          <w:bCs/>
          <w:noProof/>
          <w:sz w:val="28"/>
          <w:szCs w:val="28"/>
        </w:rPr>
      </w:pPr>
      <w:bookmarkStart w:id="0" w:name="_GoBack"/>
      <w:bookmarkEnd w:id="0"/>
      <w:r w:rsidRPr="0059020F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A75E520" wp14:editId="27E3D079">
                <wp:simplePos x="0" y="0"/>
                <wp:positionH relativeFrom="page">
                  <wp:posOffset>521970</wp:posOffset>
                </wp:positionH>
                <wp:positionV relativeFrom="margin">
                  <wp:posOffset>370840</wp:posOffset>
                </wp:positionV>
                <wp:extent cx="2695575" cy="5010785"/>
                <wp:effectExtent l="0" t="0" r="9525" b="0"/>
                <wp:wrapSquare wrapText="bothSides"/>
                <wp:docPr id="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50107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0A592B" w14:textId="77777777" w:rsidR="00D66CA3" w:rsidRPr="00DA7048" w:rsidRDefault="00D66CA3" w:rsidP="00D66CA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Grante</w:t>
                            </w:r>
                            <w:r w:rsidRPr="00DA704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060BAF74" w14:textId="77777777" w:rsidR="00D66CA3" w:rsidRPr="00C51623" w:rsidRDefault="00D66CA3" w:rsidP="00D66CA3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City Garden Montessori School</w:t>
                            </w:r>
                          </w:p>
                          <w:p w14:paraId="09569DAE" w14:textId="77777777" w:rsidR="00D66CA3" w:rsidRDefault="00D66CA3" w:rsidP="00D66CA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EBD9F3" w14:textId="77777777" w:rsidR="00D66CA3" w:rsidRDefault="00D66CA3" w:rsidP="00D66CA3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566C0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 Award Number:</w:t>
                            </w:r>
                          </w:p>
                          <w:p w14:paraId="251532E5" w14:textId="77777777" w:rsidR="00D66CA3" w:rsidRPr="00F73B6A" w:rsidRDefault="00D66CA3" w:rsidP="00D66CA3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F73B6A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282E190007</w:t>
                            </w:r>
                          </w:p>
                          <w:p w14:paraId="394E3915" w14:textId="77777777" w:rsidR="00D66CA3" w:rsidRDefault="00D66CA3" w:rsidP="00D66C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8F0B5D2" w14:textId="77777777" w:rsidR="00D66CA3" w:rsidRDefault="00D66CA3" w:rsidP="00D66C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Duration (Years):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57BEEF1" w14:textId="77777777" w:rsidR="00D66CA3" w:rsidRPr="004F5221" w:rsidRDefault="00D66CA3" w:rsidP="00D66C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4E8A4920" w14:textId="77777777" w:rsidR="00D66CA3" w:rsidRDefault="00D66CA3" w:rsidP="00D66C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Year 1 Funding:</w:t>
                            </w:r>
                          </w:p>
                          <w:p w14:paraId="2A242598" w14:textId="77777777" w:rsidR="00D66CA3" w:rsidRDefault="00D66CA3" w:rsidP="00D66C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7C4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297,000</w:t>
                            </w:r>
                          </w:p>
                          <w:p w14:paraId="47C3114F" w14:textId="77777777" w:rsidR="00D66CA3" w:rsidRDefault="00D66CA3" w:rsidP="00D66C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7BDC6B" w14:textId="77777777" w:rsidR="00D66CA3" w:rsidRDefault="00D66CA3" w:rsidP="00D66C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Total Expected Funding:</w:t>
                            </w:r>
                          </w:p>
                          <w:p w14:paraId="27C3AABF" w14:textId="030EA7D2" w:rsidR="00D66CA3" w:rsidRPr="00EC19DA" w:rsidRDefault="00D66CA3" w:rsidP="00D66C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C19D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1,4</w:t>
                            </w:r>
                            <w:r w:rsidR="00170FC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  <w:p w14:paraId="187A2BDE" w14:textId="77777777" w:rsidR="00D66CA3" w:rsidRPr="00C51623" w:rsidRDefault="00D66CA3" w:rsidP="00D66CA3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21F1AC42" w14:textId="77777777" w:rsidR="00D66CA3" w:rsidRDefault="00D66CA3" w:rsidP="00D66CA3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City Garden Montessori School:</w:t>
                            </w:r>
                          </w:p>
                          <w:p w14:paraId="4F6A13D4" w14:textId="77777777" w:rsidR="00D66CA3" w:rsidRPr="004F5221" w:rsidRDefault="00D66CA3" w:rsidP="00D66C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6C79D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1618 Tower Grove Avenue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St. Louis, MO 63110</w:t>
                            </w:r>
                          </w:p>
                          <w:p w14:paraId="33877A2B" w14:textId="77777777" w:rsidR="00D66CA3" w:rsidRPr="005203C1" w:rsidRDefault="00D66CA3" w:rsidP="00D66C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5E520" id="Rectangle 397" o:spid="_x0000_s1026" style="position:absolute;left:0;text-align:left;margin-left:41.1pt;margin-top:29.2pt;width:212.25pt;height:394.5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" o:allowincell="f" fillcolor="#f2f2f2" stroked="f" strokeweight="2pt">
                <v:textbox inset="21.6pt,21.6pt,21.6pt,21.6pt">
                  <w:txbxContent>
                    <w:p w14:paraId="760A592B" w14:textId="77777777" w:rsidR="00D66CA3" w:rsidRPr="00DA7048" w:rsidRDefault="00D66CA3" w:rsidP="00D66CA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Grante</w:t>
                      </w:r>
                      <w:r w:rsidRPr="00DA704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e:</w:t>
                      </w:r>
                    </w:p>
                    <w:p w14:paraId="060BAF74" w14:textId="77777777" w:rsidR="00D66CA3" w:rsidRPr="00C51623" w:rsidRDefault="00D66CA3" w:rsidP="00D66CA3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City Garden Montessori School</w:t>
                      </w:r>
                    </w:p>
                    <w:p w14:paraId="09569DAE" w14:textId="77777777" w:rsidR="00D66CA3" w:rsidRDefault="00D66CA3" w:rsidP="00D66CA3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AEBD9F3" w14:textId="77777777" w:rsidR="00D66CA3" w:rsidRDefault="00D66CA3" w:rsidP="00D66CA3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566C0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 Award Number:</w:t>
                      </w:r>
                    </w:p>
                    <w:p w14:paraId="251532E5" w14:textId="77777777" w:rsidR="00D66CA3" w:rsidRPr="00F73B6A" w:rsidRDefault="00D66CA3" w:rsidP="00D66CA3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</w:t>
                      </w:r>
                      <w:r w:rsidRPr="00F73B6A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282E190007</w:t>
                      </w:r>
                    </w:p>
                    <w:p w14:paraId="394E3915" w14:textId="77777777" w:rsidR="00D66CA3" w:rsidRDefault="00D66CA3" w:rsidP="00D66C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08F0B5D2" w14:textId="77777777" w:rsidR="00D66CA3" w:rsidRDefault="00D66CA3" w:rsidP="00D66C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Duration (Years):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</w:p>
                    <w:p w14:paraId="157BEEF1" w14:textId="77777777" w:rsidR="00D66CA3" w:rsidRPr="004F5221" w:rsidRDefault="00D66CA3" w:rsidP="00D66C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4E8A4920" w14:textId="77777777" w:rsidR="00D66CA3" w:rsidRDefault="00D66CA3" w:rsidP="00D66C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Year 1 Funding:</w:t>
                      </w:r>
                    </w:p>
                    <w:p w14:paraId="2A242598" w14:textId="77777777" w:rsidR="00D66CA3" w:rsidRDefault="00D66CA3" w:rsidP="00D66C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7C49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297,000</w:t>
                      </w:r>
                    </w:p>
                    <w:p w14:paraId="47C3114F" w14:textId="77777777" w:rsidR="00D66CA3" w:rsidRDefault="00D66CA3" w:rsidP="00D66C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17BDC6B" w14:textId="77777777" w:rsidR="00D66CA3" w:rsidRDefault="00D66CA3" w:rsidP="00D66C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Total Expected Funding:</w:t>
                      </w:r>
                    </w:p>
                    <w:p w14:paraId="27C3AABF" w14:textId="030EA7D2" w:rsidR="00D66CA3" w:rsidRPr="00EC19DA" w:rsidRDefault="00D66CA3" w:rsidP="00D66C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C19DA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1,4</w:t>
                      </w:r>
                      <w:r w:rsidR="00170FC9">
                        <w:rPr>
                          <w:rFonts w:ascii="Verdana" w:hAnsi="Verdana"/>
                          <w:sz w:val="20"/>
                          <w:szCs w:val="20"/>
                        </w:rPr>
                        <w:t>70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,000</w:t>
                      </w:r>
                    </w:p>
                    <w:p w14:paraId="187A2BDE" w14:textId="77777777" w:rsidR="00D66CA3" w:rsidRPr="00C51623" w:rsidRDefault="00D66CA3" w:rsidP="00D66CA3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21F1AC42" w14:textId="77777777" w:rsidR="00D66CA3" w:rsidRDefault="00D66CA3" w:rsidP="00D66CA3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City Garden Montessori School:</w:t>
                      </w:r>
                    </w:p>
                    <w:p w14:paraId="4F6A13D4" w14:textId="77777777" w:rsidR="00D66CA3" w:rsidRPr="004F5221" w:rsidRDefault="00D66CA3" w:rsidP="00D66CA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6C79D0">
                        <w:rPr>
                          <w:rFonts w:ascii="Verdana" w:hAnsi="Verdana"/>
                          <w:sz w:val="20"/>
                          <w:szCs w:val="20"/>
                        </w:rPr>
                        <w:t>1618 Tower Grove Avenue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, St. Louis, MO 63110</w:t>
                      </w:r>
                    </w:p>
                    <w:p w14:paraId="33877A2B" w14:textId="77777777" w:rsidR="00D66CA3" w:rsidRPr="005203C1" w:rsidRDefault="00D66CA3" w:rsidP="00D66CA3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rFonts w:ascii="Verdana" w:hAnsi="Verdana"/>
          <w:b/>
          <w:noProof/>
          <w:sz w:val="28"/>
          <w:szCs w:val="28"/>
        </w:rPr>
        <w:t>City Garden Montessori School</w:t>
      </w:r>
    </w:p>
    <w:p w14:paraId="4D661152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7C26B2">
        <w:rPr>
          <w:rFonts w:ascii="Verdana" w:hAnsi="Verdana"/>
          <w:bCs/>
          <w:noProof/>
          <w:sz w:val="20"/>
          <w:szCs w:val="20"/>
        </w:rPr>
        <w:t>Founded in St. Louis in 2008, City Garden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Montessori School</w:t>
      </w:r>
      <w:r>
        <w:rPr>
          <w:rFonts w:ascii="Verdana" w:hAnsi="Verdana"/>
          <w:bCs/>
          <w:noProof/>
          <w:sz w:val="20"/>
          <w:szCs w:val="20"/>
        </w:rPr>
        <w:t xml:space="preserve"> e</w:t>
      </w:r>
      <w:r w:rsidRPr="007C26B2">
        <w:rPr>
          <w:rFonts w:ascii="Verdana" w:hAnsi="Verdana"/>
          <w:bCs/>
          <w:noProof/>
          <w:sz w:val="20"/>
          <w:szCs w:val="20"/>
        </w:rPr>
        <w:t>xists to improve student achievement and outcomes by increasing access to excellent education for historically marginalized children and defying the pervasive segregation that plagues St. Louis and the United States.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City Garden achieves this goal</w:t>
      </w:r>
      <w:r>
        <w:rPr>
          <w:rFonts w:ascii="Verdana" w:hAnsi="Verdana"/>
          <w:bCs/>
          <w:noProof/>
          <w:sz w:val="20"/>
          <w:szCs w:val="20"/>
        </w:rPr>
        <w:t xml:space="preserve"> by combining the Montessori Theory of Development, </w:t>
      </w:r>
      <w:r w:rsidRPr="007C26B2">
        <w:rPr>
          <w:rFonts w:ascii="Verdana" w:hAnsi="Verdana"/>
          <w:bCs/>
          <w:noProof/>
          <w:sz w:val="20"/>
          <w:szCs w:val="20"/>
        </w:rPr>
        <w:t>rigorous state standards and an Anti-Biased, Anti-Racist (ABAR) framework to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 xml:space="preserve">provide culturally relevant, individualized educational experiences for children in kindergarten through grade eight. </w:t>
      </w:r>
    </w:p>
    <w:p w14:paraId="5FB355CC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7DEF593C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The</w:t>
      </w:r>
      <w:r w:rsidRPr="007C26B2">
        <w:rPr>
          <w:rFonts w:ascii="Verdana" w:hAnsi="Verdana"/>
          <w:bCs/>
          <w:noProof/>
          <w:sz w:val="20"/>
          <w:szCs w:val="20"/>
        </w:rPr>
        <w:t xml:space="preserve"> project for expansion over the next five years is the first phase of a multi-year plan to dramatically expand City Garden’s impact by making excellent education accessible to more St. Louis families. During this project period, City Garden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will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increase academic outcomes for all students and eliminate academic disparities among subgroups of students, enhance teacher coaching and support, launch an elementary Montessori teacher training program,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increase organizational capacity to support growth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 xml:space="preserve">of students, and increase the financial sustainability of the school. </w:t>
      </w:r>
    </w:p>
    <w:p w14:paraId="623F42BD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2FF034E3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t>I</w:t>
      </w:r>
      <w:r w:rsidRPr="007C26B2">
        <w:rPr>
          <w:rFonts w:ascii="Verdana" w:hAnsi="Verdana"/>
          <w:bCs/>
          <w:noProof/>
          <w:sz w:val="20"/>
          <w:szCs w:val="20"/>
        </w:rPr>
        <w:t xml:space="preserve">n St. Louis, Missouri, the majority of children do not have access to high quality education—particularly low-income children, minority children, children with disabilities, and English learners. </w:t>
      </w:r>
    </w:p>
    <w:p w14:paraId="2D29B558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341EB262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  <w:r w:rsidRPr="007C26B2">
        <w:rPr>
          <w:rFonts w:ascii="Verdana" w:hAnsi="Verdana"/>
          <w:bCs/>
          <w:noProof/>
          <w:sz w:val="20"/>
          <w:szCs w:val="20"/>
        </w:rPr>
        <w:t>Through this project, City Garden will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realize the following outcomes: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academic proficiency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results in language arts and math will increase by five percentage points each year;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City Garden will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have a comprehensive, codified curricular model that integrates the Montessori Method, Missouri State Standards, and Anti-Bias, Anti-Racism education; teacher retention will increase from less than 75% to 95%; City Garden will train and certify 18 elementary Montessori teachers; the number of students served will increase from 228 to 462; and City Garden will have at least a 10% discretionary fund balance at the end of each fiscal year.</w:t>
      </w:r>
    </w:p>
    <w:p w14:paraId="18AE2309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6B82C40B" w14:textId="77777777" w:rsidR="00D66CA3" w:rsidRPr="0086719D" w:rsidRDefault="00D66CA3" w:rsidP="00D66CA3">
      <w:pPr>
        <w:spacing w:before="0" w:line="24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86719D">
        <w:rPr>
          <w:rFonts w:ascii="Verdana" w:hAnsi="Verdana"/>
          <w:b/>
          <w:noProof/>
          <w:sz w:val="20"/>
          <w:szCs w:val="20"/>
        </w:rPr>
        <w:t>Number of Participants to be Served</w:t>
      </w:r>
    </w:p>
    <w:p w14:paraId="12A7C78B" w14:textId="77777777" w:rsidR="00D66CA3" w:rsidRDefault="00D66CA3" w:rsidP="00D66CA3">
      <w:pPr>
        <w:spacing w:before="0" w:line="240" w:lineRule="auto"/>
        <w:rPr>
          <w:rFonts w:ascii="Verdana" w:hAnsi="Verdana"/>
          <w:bCs/>
          <w:noProof/>
          <w:sz w:val="20"/>
          <w:szCs w:val="20"/>
        </w:rPr>
      </w:pPr>
      <w:r w:rsidRPr="007C26B2">
        <w:rPr>
          <w:rFonts w:ascii="Verdana" w:hAnsi="Verdana"/>
          <w:bCs/>
          <w:noProof/>
          <w:sz w:val="20"/>
          <w:szCs w:val="20"/>
        </w:rPr>
        <w:t>Students: 2019-20 Enrollment = 228;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expected 2023-24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Enrollment = 462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(234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increase)</w:t>
      </w:r>
    </w:p>
    <w:p w14:paraId="499EE88D" w14:textId="77777777" w:rsidR="00D66CA3" w:rsidRDefault="00D66CA3" w:rsidP="00D66CA3">
      <w:pPr>
        <w:spacing w:before="0" w:line="240" w:lineRule="auto"/>
        <w:rPr>
          <w:rFonts w:ascii="Verdana" w:hAnsi="Verdana"/>
          <w:bCs/>
          <w:noProof/>
          <w:sz w:val="20"/>
          <w:szCs w:val="20"/>
        </w:rPr>
      </w:pPr>
      <w:r w:rsidRPr="007C26B2">
        <w:rPr>
          <w:rFonts w:ascii="Verdana" w:hAnsi="Verdana"/>
          <w:bCs/>
          <w:noProof/>
          <w:sz w:val="20"/>
          <w:szCs w:val="20"/>
        </w:rPr>
        <w:t>Number of Teachers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and Assistants: 2019-20 = 22; expected 2023-24 = 38 (16 increase)</w:t>
      </w:r>
    </w:p>
    <w:p w14:paraId="704C46E1" w14:textId="77777777" w:rsidR="00D66CA3" w:rsidRDefault="00D66CA3" w:rsidP="00D66CA3">
      <w:pPr>
        <w:spacing w:before="0" w:line="240" w:lineRule="auto"/>
        <w:rPr>
          <w:rFonts w:ascii="Verdana" w:hAnsi="Verdana"/>
          <w:bCs/>
          <w:noProof/>
          <w:sz w:val="20"/>
          <w:szCs w:val="20"/>
        </w:rPr>
      </w:pPr>
      <w:r w:rsidRPr="007C26B2">
        <w:rPr>
          <w:rFonts w:ascii="Verdana" w:hAnsi="Verdana"/>
          <w:bCs/>
          <w:noProof/>
          <w:sz w:val="20"/>
          <w:szCs w:val="20"/>
        </w:rPr>
        <w:t>At full capacity in 2028-29</w:t>
      </w:r>
      <w:r>
        <w:rPr>
          <w:rFonts w:ascii="Verdana" w:hAnsi="Verdana"/>
          <w:bCs/>
          <w:noProof/>
          <w:sz w:val="20"/>
          <w:szCs w:val="20"/>
        </w:rPr>
        <w:t>,</w:t>
      </w:r>
      <w:r w:rsidRPr="007C26B2">
        <w:rPr>
          <w:rFonts w:ascii="Verdana" w:hAnsi="Verdana"/>
          <w:bCs/>
          <w:noProof/>
          <w:sz w:val="20"/>
          <w:szCs w:val="20"/>
        </w:rPr>
        <w:t xml:space="preserve"> the school will employ 48 teachers and assistants (26 increase).</w:t>
      </w:r>
    </w:p>
    <w:p w14:paraId="394827E4" w14:textId="77777777" w:rsidR="00D66CA3" w:rsidRDefault="00D66CA3" w:rsidP="00D66CA3">
      <w:pPr>
        <w:spacing w:before="0" w:line="240" w:lineRule="auto"/>
        <w:jc w:val="both"/>
        <w:rPr>
          <w:rFonts w:ascii="Verdana" w:hAnsi="Verdana"/>
          <w:bCs/>
          <w:noProof/>
          <w:sz w:val="20"/>
          <w:szCs w:val="20"/>
        </w:rPr>
      </w:pPr>
    </w:p>
    <w:p w14:paraId="202F1CF0" w14:textId="77777777" w:rsidR="00D66CA3" w:rsidRDefault="00D66CA3" w:rsidP="00D66CA3">
      <w:pPr>
        <w:spacing w:before="0" w:line="240" w:lineRule="auto"/>
        <w:jc w:val="both"/>
        <w:rPr>
          <w:rFonts w:ascii="Garamond" w:hAnsi="Garamond"/>
          <w:sz w:val="24"/>
        </w:rPr>
      </w:pPr>
      <w:r w:rsidRPr="007C26B2">
        <w:rPr>
          <w:rFonts w:ascii="Verdana" w:hAnsi="Verdana"/>
          <w:bCs/>
          <w:noProof/>
          <w:sz w:val="20"/>
          <w:szCs w:val="20"/>
        </w:rPr>
        <w:t>By virtue of serving students</w:t>
      </w:r>
      <w:r>
        <w:rPr>
          <w:rFonts w:ascii="Verdana" w:hAnsi="Verdana"/>
          <w:bCs/>
          <w:noProof/>
          <w:sz w:val="20"/>
          <w:szCs w:val="20"/>
        </w:rPr>
        <w:t>,</w:t>
      </w:r>
      <w:r w:rsidRPr="007C26B2">
        <w:rPr>
          <w:rFonts w:ascii="Verdana" w:hAnsi="Verdana"/>
          <w:bCs/>
          <w:noProof/>
          <w:sz w:val="20"/>
          <w:szCs w:val="20"/>
        </w:rPr>
        <w:t xml:space="preserve"> City Garden serves their families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who are deeply rooted in the surrounding community.</w:t>
      </w:r>
      <w:r>
        <w:rPr>
          <w:rFonts w:ascii="Verdana" w:hAnsi="Verdana"/>
          <w:bCs/>
          <w:noProof/>
          <w:sz w:val="20"/>
          <w:szCs w:val="20"/>
        </w:rPr>
        <w:t xml:space="preserve"> C</w:t>
      </w:r>
      <w:r w:rsidRPr="007C26B2">
        <w:rPr>
          <w:rFonts w:ascii="Verdana" w:hAnsi="Verdana"/>
          <w:bCs/>
          <w:noProof/>
          <w:sz w:val="20"/>
          <w:szCs w:val="20"/>
        </w:rPr>
        <w:t>ity Garden currently operates in a single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facility located at 1618 Tower Grove Avenue. The project seeks to expand Kindergarten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at this site while expanding to a new site located at 4209 Folsom, only two blocks away from 1618 Tower Grove.The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4209 Folsom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56,000 square footage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 xml:space="preserve">space will accommodate the first through eighth grade </w:t>
      </w:r>
      <w:r w:rsidRPr="007C26B2">
        <w:rPr>
          <w:rFonts w:ascii="Verdana" w:hAnsi="Verdana"/>
          <w:bCs/>
          <w:noProof/>
          <w:sz w:val="20"/>
          <w:szCs w:val="20"/>
        </w:rPr>
        <w:lastRenderedPageBreak/>
        <w:t>classrooms, plus</w:t>
      </w:r>
      <w:r>
        <w:rPr>
          <w:rFonts w:ascii="Verdana" w:hAnsi="Verdana"/>
          <w:bCs/>
          <w:noProof/>
          <w:sz w:val="20"/>
          <w:szCs w:val="20"/>
        </w:rPr>
        <w:t xml:space="preserve"> </w:t>
      </w:r>
      <w:r w:rsidRPr="007C26B2">
        <w:rPr>
          <w:rFonts w:ascii="Verdana" w:hAnsi="Verdana"/>
          <w:bCs/>
          <w:noProof/>
          <w:sz w:val="20"/>
          <w:szCs w:val="20"/>
        </w:rPr>
        <w:t>lab space, community areas, personnel offices, and supplemental instructional spaces. This CSP grant will not fund City Garden facilities.</w:t>
      </w:r>
    </w:p>
    <w:p w14:paraId="170A213C" w14:textId="390077F4" w:rsidR="00AB6082" w:rsidRPr="001C57FB" w:rsidRDefault="00DC58EB" w:rsidP="001C57FB"/>
    <w:sectPr w:rsidR="00AB6082" w:rsidRPr="001C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427D"/>
    <w:multiLevelType w:val="hybridMultilevel"/>
    <w:tmpl w:val="D6A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8"/>
    <w:rsid w:val="00040628"/>
    <w:rsid w:val="000A5CA4"/>
    <w:rsid w:val="00170FC9"/>
    <w:rsid w:val="00174DA9"/>
    <w:rsid w:val="001C57FB"/>
    <w:rsid w:val="00214D9C"/>
    <w:rsid w:val="004F0E3E"/>
    <w:rsid w:val="0067259C"/>
    <w:rsid w:val="008C7214"/>
    <w:rsid w:val="00D66CA3"/>
    <w:rsid w:val="00DA0FC8"/>
    <w:rsid w:val="00DB75F1"/>
    <w:rsid w:val="00DC58EB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73B1"/>
  <w15:chartTrackingRefBased/>
  <w15:docId w15:val="{6FFB0B9D-AB25-42C7-B518-07B9CC0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C8"/>
    <w:pPr>
      <w:spacing w:before="120" w:after="0" w:line="276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NewPage">
    <w:name w:val="H1 - New Page"/>
    <w:basedOn w:val="Heading1"/>
    <w:link w:val="H1-NewPageChar"/>
    <w:qFormat/>
    <w:rsid w:val="00DA0FC8"/>
    <w:pPr>
      <w:keepLines w:val="0"/>
      <w:pBdr>
        <w:top w:val="single" w:sz="12" w:space="1" w:color="auto"/>
        <w:bottom w:val="single" w:sz="12" w:space="1" w:color="auto"/>
      </w:pBdr>
      <w:shd w:val="clear" w:color="auto" w:fill="FFFFFF" w:themeFill="background1"/>
      <w:spacing w:before="0" w:after="120" w:line="240" w:lineRule="auto"/>
      <w:ind w:firstLine="86"/>
    </w:pPr>
    <w:rPr>
      <w:rFonts w:ascii="Times New Roman" w:eastAsia="Times New Roman" w:hAnsi="Times New Roman" w:cs="Arial"/>
      <w:b/>
      <w:bCs/>
      <w:smallCaps/>
      <w:sz w:val="24"/>
      <w:szCs w:val="24"/>
    </w:rPr>
  </w:style>
  <w:style w:type="character" w:customStyle="1" w:styleId="H1-NewPageChar">
    <w:name w:val="H1 - New Page Char"/>
    <w:basedOn w:val="Heading1Char"/>
    <w:link w:val="H1-NewPage"/>
    <w:rsid w:val="00DA0FC8"/>
    <w:rPr>
      <w:rFonts w:ascii="Times New Roman" w:eastAsia="Times New Roman" w:hAnsi="Times New Roman" w:cs="Arial"/>
      <w:b/>
      <w:bCs/>
      <w:smallCaps/>
      <w:color w:val="2F5496" w:themeColor="accent1" w:themeShade="BF"/>
      <w:sz w:val="24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A0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5CA4"/>
    <w:pPr>
      <w:spacing w:after="200"/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72f0091d499a41912448b9e7f171eb7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588bcec058c1be9b0e15951156a096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1D33A-7AC5-4165-965A-004E94F7F192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f87c7b8b-c0e7-4b77-a067-2c707fd1239f"/>
    <ds:schemaRef ds:uri="02e41e38-1731-4866-b09a-6257d8bc047f"/>
  </ds:schemaRefs>
</ds:datastoreItem>
</file>

<file path=customXml/itemProps2.xml><?xml version="1.0" encoding="utf-8"?>
<ds:datastoreItem xmlns:ds="http://schemas.openxmlformats.org/officeDocument/2006/customXml" ds:itemID="{1BCD8F4D-07D0-4AD3-9716-298CF0C61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A7013-5F56-4712-BE9B-C9B6350AB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Neseth, Hans</dc:creator>
  <cp:keywords/>
  <dc:description/>
  <cp:lastModifiedBy>Ford, Cheryl</cp:lastModifiedBy>
  <cp:revision>2</cp:revision>
  <dcterms:created xsi:type="dcterms:W3CDTF">2019-11-01T12:49:00Z</dcterms:created>
  <dcterms:modified xsi:type="dcterms:W3CDTF">2019-11-01T12:49:00Z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