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3E24" w14:textId="77777777" w:rsidR="00DA0FC8" w:rsidRPr="0059020F" w:rsidRDefault="00DA0FC8" w:rsidP="00DA0FC8">
      <w:pPr>
        <w:tabs>
          <w:tab w:val="left" w:pos="7299"/>
        </w:tabs>
        <w:spacing w:before="0" w:line="240" w:lineRule="auto"/>
        <w:rPr>
          <w:rFonts w:ascii="Garamond" w:hAnsi="Garamond"/>
          <w:sz w:val="24"/>
        </w:rPr>
      </w:pPr>
      <w:bookmarkStart w:id="0" w:name="_GoBack"/>
      <w:bookmarkEnd w:id="0"/>
      <w:r w:rsidRPr="0059020F"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1F242A73" wp14:editId="497D4EC6">
                <wp:simplePos x="0" y="0"/>
                <wp:positionH relativeFrom="page">
                  <wp:posOffset>539115</wp:posOffset>
                </wp:positionH>
                <wp:positionV relativeFrom="margin">
                  <wp:posOffset>501650</wp:posOffset>
                </wp:positionV>
                <wp:extent cx="2695575" cy="5283200"/>
                <wp:effectExtent l="0" t="0" r="9525" b="0"/>
                <wp:wrapSquare wrapText="bothSides"/>
                <wp:docPr id="11" name="Rectangl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95575" cy="5283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743E954" w14:textId="77777777" w:rsidR="00DA0FC8" w:rsidRPr="00DA7048" w:rsidRDefault="00DA0FC8" w:rsidP="00DA0FC8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Grante</w:t>
                            </w:r>
                            <w:r w:rsidRPr="00DA7048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e:</w:t>
                            </w:r>
                          </w:p>
                          <w:p w14:paraId="335B2ED5" w14:textId="77777777" w:rsidR="00DA0FC8" w:rsidRPr="00C51623" w:rsidRDefault="00DA0FC8" w:rsidP="00DA0FC8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  <w:proofErr w:type="spellStart"/>
                            <w:r w:rsidRPr="00283A6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Vimenti</w:t>
                            </w:r>
                            <w:proofErr w:type="spellEnd"/>
                            <w:r w:rsidRPr="00283A62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Charter School, Boys &amp; Girls Clubs of Puerto Rico</w:t>
                            </w:r>
                          </w:p>
                          <w:p w14:paraId="4C2069C2" w14:textId="77777777" w:rsidR="00DA0FC8" w:rsidRDefault="00DA0FC8" w:rsidP="00DA0FC8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2862327" w14:textId="77777777" w:rsidR="00DA0FC8" w:rsidRDefault="00DA0FC8" w:rsidP="00DA0FC8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 w:rsidRPr="00566C06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PR Award Number:</w:t>
                            </w:r>
                          </w:p>
                          <w:p w14:paraId="3EFF4352" w14:textId="77777777" w:rsidR="00DA0FC8" w:rsidRPr="008003A9" w:rsidRDefault="00DA0FC8" w:rsidP="00DA0FC8">
                            <w:pP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8003A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282B190003</w:t>
                            </w:r>
                          </w:p>
                          <w:p w14:paraId="61C66473" w14:textId="77777777" w:rsidR="00DA0FC8" w:rsidRDefault="00DA0FC8" w:rsidP="00DA0FC8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3086A72" w14:textId="77777777" w:rsidR="00DA0FC8" w:rsidRDefault="00DA0FC8" w:rsidP="00DA0FC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Duration (Years):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44E842A6" w14:textId="77777777" w:rsidR="00DA0FC8" w:rsidRPr="004F5221" w:rsidRDefault="00DA0FC8" w:rsidP="00DA0F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D51ACBA" w14:textId="77777777" w:rsidR="00DA0FC8" w:rsidRDefault="00DA0FC8" w:rsidP="00DA0FC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Year 1 Funding:</w:t>
                            </w:r>
                          </w:p>
                          <w:p w14:paraId="615C2DEA" w14:textId="77777777" w:rsidR="00DA0FC8" w:rsidRDefault="00DA0FC8" w:rsidP="00DA0F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D66B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496,674</w:t>
                            </w:r>
                          </w:p>
                          <w:p w14:paraId="285A5BC0" w14:textId="77777777" w:rsidR="00DA0FC8" w:rsidRDefault="00DA0FC8" w:rsidP="00DA0FC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7EA440" w14:textId="77777777" w:rsidR="00DA0FC8" w:rsidRDefault="00DA0FC8" w:rsidP="00DA0FC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Total Expected Funding:</w:t>
                            </w:r>
                          </w:p>
                          <w:p w14:paraId="6E6FFA5F" w14:textId="77777777" w:rsidR="00DA0FC8" w:rsidRPr="00486B03" w:rsidRDefault="00DA0FC8" w:rsidP="00DA0F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86B03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$1,218,169</w:t>
                            </w:r>
                          </w:p>
                          <w:p w14:paraId="58E50785" w14:textId="77777777" w:rsidR="00DA0FC8" w:rsidRPr="00C51623" w:rsidRDefault="00DA0FC8" w:rsidP="00DA0F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655E60A4" w14:textId="77777777" w:rsidR="00DA0FC8" w:rsidRDefault="00DA0FC8" w:rsidP="00DA0FC8">
                            <w:pP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Vimenti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Charter School:</w:t>
                            </w:r>
                          </w:p>
                          <w:p w14:paraId="70AE5FEC" w14:textId="77777777" w:rsidR="00DA0FC8" w:rsidRDefault="00DA0FC8" w:rsidP="00DA0F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8D245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Final Residencia Ernesto, Calle Ana Otero, San Juan PR 00924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A2D399" w14:textId="77777777" w:rsidR="00DA0FC8" w:rsidRPr="00D93050" w:rsidRDefault="00DA0FC8" w:rsidP="00DA0F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D9C7FF4" w14:textId="77777777" w:rsidR="00DA0FC8" w:rsidRPr="004F5221" w:rsidRDefault="00DA0FC8" w:rsidP="00DA0FC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37E598B8" w14:textId="77777777" w:rsidR="00DA0FC8" w:rsidRPr="004F5221" w:rsidRDefault="00DA0FC8" w:rsidP="00DA0F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7E20A5F4" w14:textId="77777777" w:rsidR="00DA0FC8" w:rsidRPr="005203C1" w:rsidRDefault="00DA0FC8" w:rsidP="00DA0FC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42A73" id="Rectangle 397" o:spid="_x0000_s1026" style="position:absolute;margin-left:42.45pt;margin-top:39.5pt;width:212.25pt;height:416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" o:allowincell="f" fillcolor="#f2f2f2" stroked="f" strokeweight="2pt">
                <v:textbox inset="21.6pt,21.6pt,21.6pt,21.6pt">
                  <w:txbxContent>
                    <w:p w14:paraId="6743E954" w14:textId="77777777" w:rsidR="00DA0FC8" w:rsidRPr="00DA7048" w:rsidRDefault="00DA0FC8" w:rsidP="00DA0FC8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Grante</w:t>
                      </w:r>
                      <w:r w:rsidRPr="00DA7048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e:</w:t>
                      </w:r>
                    </w:p>
                    <w:p w14:paraId="335B2ED5" w14:textId="77777777" w:rsidR="00DA0FC8" w:rsidRPr="00C51623" w:rsidRDefault="00DA0FC8" w:rsidP="00DA0FC8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  <w:highlight w:val="yellow"/>
                        </w:rPr>
                      </w:pPr>
                      <w:proofErr w:type="spellStart"/>
                      <w:r w:rsidRPr="00283A6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Vimenti</w:t>
                      </w:r>
                      <w:proofErr w:type="spellEnd"/>
                      <w:r w:rsidRPr="00283A62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Charter School, Boys &amp; Girls Clubs of Puerto Rico</w:t>
                      </w:r>
                    </w:p>
                    <w:p w14:paraId="4C2069C2" w14:textId="77777777" w:rsidR="00DA0FC8" w:rsidRDefault="00DA0FC8" w:rsidP="00DA0FC8">
                      <w:pPr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2862327" w14:textId="77777777" w:rsidR="00DA0FC8" w:rsidRDefault="00DA0FC8" w:rsidP="00DA0FC8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 w:rsidRPr="00566C06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PR Award Number:</w:t>
                      </w:r>
                    </w:p>
                    <w:p w14:paraId="3EFF4352" w14:textId="77777777" w:rsidR="00DA0FC8" w:rsidRPr="008003A9" w:rsidRDefault="00DA0FC8" w:rsidP="00DA0FC8">
                      <w:pP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S</w:t>
                      </w:r>
                      <w:r w:rsidRPr="008003A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282B190003</w:t>
                      </w:r>
                    </w:p>
                    <w:p w14:paraId="61C66473" w14:textId="77777777" w:rsidR="00DA0FC8" w:rsidRDefault="00DA0FC8" w:rsidP="00DA0FC8">
                      <w:pPr>
                        <w:rPr>
                          <w:color w:val="000000"/>
                        </w:rPr>
                      </w:pPr>
                    </w:p>
                    <w:p w14:paraId="13086A72" w14:textId="77777777" w:rsidR="00DA0FC8" w:rsidRDefault="00DA0FC8" w:rsidP="00DA0FC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Duration (Years):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</w:p>
                    <w:p w14:paraId="44E842A6" w14:textId="77777777" w:rsidR="00DA0FC8" w:rsidRPr="004F5221" w:rsidRDefault="00DA0FC8" w:rsidP="00DA0F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D51ACBA" w14:textId="77777777" w:rsidR="00DA0FC8" w:rsidRDefault="00DA0FC8" w:rsidP="00DA0FC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Year 1 Funding:</w:t>
                      </w:r>
                    </w:p>
                    <w:p w14:paraId="615C2DEA" w14:textId="77777777" w:rsidR="00DA0FC8" w:rsidRDefault="00DA0FC8" w:rsidP="00DA0F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D66B1">
                        <w:rPr>
                          <w:rFonts w:ascii="Verdana" w:hAnsi="Verdana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496,674</w:t>
                      </w:r>
                    </w:p>
                    <w:p w14:paraId="285A5BC0" w14:textId="77777777" w:rsidR="00DA0FC8" w:rsidRDefault="00DA0FC8" w:rsidP="00DA0FC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2D7EA440" w14:textId="77777777" w:rsidR="00DA0FC8" w:rsidRDefault="00DA0FC8" w:rsidP="00DA0FC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Total Expected Funding:</w:t>
                      </w:r>
                    </w:p>
                    <w:p w14:paraId="6E6FFA5F" w14:textId="77777777" w:rsidR="00DA0FC8" w:rsidRPr="00486B03" w:rsidRDefault="00DA0FC8" w:rsidP="00DA0F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86B03">
                        <w:rPr>
                          <w:rFonts w:ascii="Verdana" w:hAnsi="Verdana"/>
                          <w:sz w:val="20"/>
                          <w:szCs w:val="20"/>
                        </w:rPr>
                        <w:t>$1,218,169</w:t>
                      </w:r>
                    </w:p>
                    <w:p w14:paraId="58E50785" w14:textId="77777777" w:rsidR="00DA0FC8" w:rsidRPr="00C51623" w:rsidRDefault="00DA0FC8" w:rsidP="00DA0F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655E60A4" w14:textId="77777777" w:rsidR="00DA0FC8" w:rsidRDefault="00DA0FC8" w:rsidP="00DA0FC8">
                      <w:pP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Vimenti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Charter School:</w:t>
                      </w:r>
                    </w:p>
                    <w:p w14:paraId="70AE5FEC" w14:textId="77777777" w:rsidR="00DA0FC8" w:rsidRDefault="00DA0FC8" w:rsidP="00DA0F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8D245A">
                        <w:rPr>
                          <w:rFonts w:ascii="Verdana" w:hAnsi="Verdana"/>
                          <w:sz w:val="20"/>
                          <w:szCs w:val="20"/>
                        </w:rPr>
                        <w:t>Final Residencia Ernesto, Calle Ana Otero, San Juan PR 00924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A2D399" w14:textId="77777777" w:rsidR="00DA0FC8" w:rsidRPr="00D93050" w:rsidRDefault="00DA0FC8" w:rsidP="00DA0F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D9C7FF4" w14:textId="77777777" w:rsidR="00DA0FC8" w:rsidRPr="004F5221" w:rsidRDefault="00DA0FC8" w:rsidP="00DA0FC8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37E598B8" w14:textId="77777777" w:rsidR="00DA0FC8" w:rsidRPr="004F5221" w:rsidRDefault="00DA0FC8" w:rsidP="00DA0FC8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7E20A5F4" w14:textId="77777777" w:rsidR="00DA0FC8" w:rsidRPr="005203C1" w:rsidRDefault="00DA0FC8" w:rsidP="00DA0FC8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0CECC778" w14:textId="77777777" w:rsidR="00DA0FC8" w:rsidRPr="0059020F" w:rsidRDefault="00DA0FC8" w:rsidP="00F67D12">
      <w:pPr>
        <w:spacing w:before="0" w:line="240" w:lineRule="auto"/>
        <w:rPr>
          <w:rFonts w:ascii="Verdana" w:hAnsi="Verdana"/>
          <w:b/>
          <w:bCs/>
          <w:noProof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t>Vimenti Charter School, Boys &amp; Girls Clubs of Puerto Rico</w:t>
      </w:r>
    </w:p>
    <w:p w14:paraId="72ACF8A5" w14:textId="77777777" w:rsidR="00DA0FC8" w:rsidRPr="0059020F" w:rsidRDefault="00DA0FC8" w:rsidP="00DA0FC8">
      <w:pPr>
        <w:spacing w:before="0" w:line="240" w:lineRule="auto"/>
        <w:rPr>
          <w:rFonts w:ascii="Verdana" w:hAnsi="Verdana"/>
          <w:b/>
          <w:noProof/>
          <w:sz w:val="28"/>
          <w:szCs w:val="28"/>
        </w:rPr>
      </w:pPr>
      <w:r w:rsidRPr="0059020F">
        <w:rPr>
          <w:rFonts w:ascii="Verdana" w:hAnsi="Verdana"/>
          <w:b/>
          <w:bCs/>
          <w:noProof/>
          <w:sz w:val="28"/>
          <w:szCs w:val="28"/>
        </w:rPr>
        <w:tab/>
      </w:r>
    </w:p>
    <w:p w14:paraId="70CBB8AA" w14:textId="77777777" w:rsidR="00DA0FC8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The </w:t>
      </w:r>
      <w:proofErr w:type="spellStart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Vimenti</w:t>
      </w:r>
      <w:proofErr w:type="spellEnd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Charter School is the educational foundation of the B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oys &amp; Girls Clubs of Puerto Rico </w:t>
      </w:r>
      <w:proofErr w:type="spellStart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Vimenti</w:t>
      </w:r>
      <w:proofErr w:type="spellEnd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Demonstration Project—an evidence-based, one-stop model for mitigating the effects of generational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poverty on economically and educationally disadvantaged children and their families. Once in full operation</w:t>
      </w:r>
      <w:r>
        <w:rPr>
          <w:rFonts w:ascii="Verdana" w:hAnsi="Verdana" w:cs="TimesNewRomanPSMT"/>
          <w:color w:val="000000" w:themeColor="text1"/>
          <w:sz w:val="20"/>
          <w:szCs w:val="20"/>
        </w:rPr>
        <w:t>,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proofErr w:type="spellStart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Vimenti</w:t>
      </w:r>
      <w:proofErr w:type="spellEnd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will serve 200 students in grades K-5.  </w:t>
      </w:r>
    </w:p>
    <w:p w14:paraId="52785328" w14:textId="77777777" w:rsidR="00DA0FC8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</w:p>
    <w:p w14:paraId="6D1B1A0B" w14:textId="77777777" w:rsidR="00DA0FC8" w:rsidRPr="0059020F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  <w:r w:rsidRPr="0059020F">
        <w:rPr>
          <w:rFonts w:ascii="Verdana" w:hAnsi="Verdana" w:cs="TimesNewRomanPSMT"/>
          <w:color w:val="000000" w:themeColor="text1"/>
          <w:sz w:val="20"/>
          <w:szCs w:val="20"/>
        </w:rPr>
        <w:t>The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59020F">
        <w:rPr>
          <w:rFonts w:ascii="Verdana" w:hAnsi="Verdana" w:cs="TimesNewRomanPSMT"/>
          <w:color w:val="000000" w:themeColor="text1"/>
          <w:sz w:val="20"/>
          <w:szCs w:val="20"/>
        </w:rPr>
        <w:t>project has t</w:t>
      </w:r>
      <w:r>
        <w:rPr>
          <w:rFonts w:ascii="Verdana" w:hAnsi="Verdana" w:cs="TimesNewRomanPSMT"/>
          <w:color w:val="000000" w:themeColor="text1"/>
          <w:sz w:val="20"/>
          <w:szCs w:val="20"/>
        </w:rPr>
        <w:t>hree</w:t>
      </w:r>
      <w:r w:rsidRPr="0059020F">
        <w:rPr>
          <w:rFonts w:ascii="Verdana" w:hAnsi="Verdana" w:cs="TimesNewRomanPSMT"/>
          <w:color w:val="000000" w:themeColor="text1"/>
          <w:sz w:val="20"/>
          <w:szCs w:val="20"/>
        </w:rPr>
        <w:t xml:space="preserve"> (</w:t>
      </w:r>
      <w:r>
        <w:rPr>
          <w:rFonts w:ascii="Verdana" w:hAnsi="Verdana" w:cs="TimesNewRomanPSMT"/>
          <w:color w:val="000000" w:themeColor="text1"/>
          <w:sz w:val="20"/>
          <w:szCs w:val="20"/>
        </w:rPr>
        <w:t>3</w:t>
      </w:r>
      <w:r w:rsidRPr="0059020F">
        <w:rPr>
          <w:rFonts w:ascii="Verdana" w:hAnsi="Verdana" w:cs="TimesNewRomanPSMT"/>
          <w:color w:val="000000" w:themeColor="text1"/>
          <w:sz w:val="20"/>
          <w:szCs w:val="20"/>
        </w:rPr>
        <w:t>) objectives:</w:t>
      </w:r>
    </w:p>
    <w:p w14:paraId="43C30325" w14:textId="77777777" w:rsidR="00DA0FC8" w:rsidRPr="0059020F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</w:p>
    <w:p w14:paraId="2B5C72B1" w14:textId="77777777" w:rsidR="00DA0FC8" w:rsidRPr="0059020F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  <w:r w:rsidRPr="0059020F">
        <w:rPr>
          <w:rFonts w:ascii="Verdana" w:hAnsi="Verdana" w:cs="TimesNewRomanPS-BoldMT"/>
          <w:b/>
          <w:bCs/>
          <w:color w:val="000000" w:themeColor="text1"/>
          <w:sz w:val="20"/>
          <w:szCs w:val="20"/>
        </w:rPr>
        <w:t>Objective 1</w:t>
      </w:r>
      <w:r w:rsidRPr="0059020F">
        <w:rPr>
          <w:rFonts w:ascii="Verdana" w:hAnsi="Verdana" w:cs="TimesNewRomanPSMT"/>
          <w:color w:val="000000" w:themeColor="text1"/>
          <w:sz w:val="20"/>
          <w:szCs w:val="20"/>
        </w:rPr>
        <w:t>: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proofErr w:type="spellStart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Vimenti</w:t>
      </w:r>
      <w:proofErr w:type="spellEnd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will adopt a research based, dual-language curricula that is fully aligned to Puerto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Rico Core Standards (PRCS) for all grades (K-5).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This includes activities such as: evaluating the curriculum framework, completing curriculum mapping, identifying supplemental curriculum needs, creating lesson plans and modules of vertically aligned content for teachers, and receiving approval from P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uerto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R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ico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D</w:t>
      </w:r>
      <w:r>
        <w:rPr>
          <w:rFonts w:ascii="Verdana" w:hAnsi="Verdana" w:cs="TimesNewRomanPSMT"/>
          <w:color w:val="000000" w:themeColor="text1"/>
          <w:sz w:val="20"/>
          <w:szCs w:val="20"/>
        </w:rPr>
        <w:t>epartment of Education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that the curriculum is aligned with PRCS.  </w:t>
      </w:r>
    </w:p>
    <w:p w14:paraId="14A8B863" w14:textId="77777777" w:rsidR="00DA0FC8" w:rsidRDefault="00DA0FC8" w:rsidP="00DA0FC8">
      <w:pPr>
        <w:autoSpaceDE w:val="0"/>
        <w:autoSpaceDN w:val="0"/>
        <w:adjustRightInd w:val="0"/>
        <w:spacing w:before="0" w:line="240" w:lineRule="auto"/>
        <w:ind w:left="-720"/>
        <w:jc w:val="both"/>
        <w:rPr>
          <w:rFonts w:ascii="Verdana" w:hAnsi="Verdana" w:cs="TimesNewRomanPS-BoldMT"/>
          <w:b/>
          <w:bCs/>
          <w:color w:val="000000" w:themeColor="text1"/>
          <w:sz w:val="20"/>
          <w:szCs w:val="20"/>
        </w:rPr>
      </w:pPr>
    </w:p>
    <w:p w14:paraId="27B65767" w14:textId="77777777" w:rsidR="00DA0FC8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  <w:r w:rsidRPr="0059020F">
        <w:rPr>
          <w:rFonts w:ascii="Verdana" w:hAnsi="Verdana" w:cs="TimesNewRomanPS-BoldMT"/>
          <w:b/>
          <w:bCs/>
          <w:color w:val="000000" w:themeColor="text1"/>
          <w:sz w:val="20"/>
          <w:szCs w:val="20"/>
        </w:rPr>
        <w:t>Objective 2</w:t>
      </w:r>
      <w:r w:rsidRPr="0059020F">
        <w:rPr>
          <w:rFonts w:ascii="Verdana" w:hAnsi="Verdana" w:cs="TimesNewRomanPSMT"/>
          <w:color w:val="000000" w:themeColor="text1"/>
          <w:sz w:val="20"/>
          <w:szCs w:val="20"/>
        </w:rPr>
        <w:t>: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Based on that curricula, </w:t>
      </w:r>
      <w:proofErr w:type="spellStart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Vimenti</w:t>
      </w:r>
      <w:proofErr w:type="spellEnd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will develop, adopt and implement comprehensive staff professional development (teachers and school leadership) to improve pedagogical content knowledge and content knowledge for serving the target population, integrating those practices into </w:t>
      </w:r>
      <w:proofErr w:type="spellStart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Vimenti’s</w:t>
      </w:r>
      <w:proofErr w:type="spellEnd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curriculum. This includes activities such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as: researching and selecting professional development curriculums, conducting pre-assessments of teacher skills, delivering professional development through external and internal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cycles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of professional learning to teachers and leaders, and assessing teacher and leadership use of learned skill sets. Teachers will receive </w:t>
      </w:r>
      <w:r>
        <w:rPr>
          <w:rFonts w:ascii="Verdana" w:hAnsi="Verdana" w:cs="TimesNewRomanPSMT"/>
          <w:color w:val="000000" w:themeColor="text1"/>
          <w:sz w:val="20"/>
          <w:szCs w:val="20"/>
        </w:rPr>
        <w:t>over 100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hours of professional development annually.  </w:t>
      </w:r>
    </w:p>
    <w:p w14:paraId="1943CF0E" w14:textId="77777777" w:rsidR="00DA0FC8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</w:p>
    <w:p w14:paraId="596B0E3F" w14:textId="77777777" w:rsidR="00DA0FC8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  <w:r w:rsidRPr="00EE566C">
        <w:rPr>
          <w:rFonts w:ascii="Verdana" w:hAnsi="Verdana" w:cs="TimesNewRomanPSMT"/>
          <w:b/>
          <w:bCs/>
          <w:color w:val="000000" w:themeColor="text1"/>
          <w:sz w:val="20"/>
          <w:szCs w:val="20"/>
        </w:rPr>
        <w:t>Objective 3:</w:t>
      </w:r>
      <w:r>
        <w:rPr>
          <w:rFonts w:ascii="Verdana" w:hAnsi="Verdana" w:cs="TimesNewRomanPSMT"/>
          <w:color w:val="000000" w:themeColor="text1"/>
          <w:sz w:val="20"/>
          <w:szCs w:val="20"/>
        </w:rPr>
        <w:t xml:space="preserve"> 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Using th</w:t>
      </w:r>
      <w:r>
        <w:rPr>
          <w:rFonts w:ascii="Verdana" w:hAnsi="Verdana" w:cs="TimesNewRomanPSMT"/>
          <w:color w:val="000000" w:themeColor="text1"/>
          <w:sz w:val="20"/>
          <w:szCs w:val="20"/>
        </w:rPr>
        <w:t>e</w:t>
      </w:r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curriculum and teaching practices, and aided by the necessary supplies, equipment, and facility, </w:t>
      </w:r>
      <w:proofErr w:type="spellStart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>Vimenti</w:t>
      </w:r>
      <w:proofErr w:type="spellEnd"/>
      <w:r w:rsidRPr="00A9286F">
        <w:rPr>
          <w:rFonts w:ascii="Verdana" w:hAnsi="Verdana" w:cs="TimesNewRomanPSMT"/>
          <w:color w:val="000000" w:themeColor="text1"/>
          <w:sz w:val="20"/>
          <w:szCs w:val="20"/>
        </w:rPr>
        <w:t xml:space="preserve"> will increase student achievement on standards aligned assessments. This includes activities such as: providing K-5 students with differentiated instruction in a dual-language inclusive school, completing minor renovations for ADA compliance, and conducting staff and parent advocacy training on multiple subjects. </w:t>
      </w:r>
    </w:p>
    <w:p w14:paraId="7B0E6FA2" w14:textId="77777777" w:rsidR="00DA0FC8" w:rsidRPr="0059020F" w:rsidRDefault="00DA0FC8" w:rsidP="00DA0FC8">
      <w:pPr>
        <w:autoSpaceDE w:val="0"/>
        <w:autoSpaceDN w:val="0"/>
        <w:adjustRightInd w:val="0"/>
        <w:spacing w:before="0" w:line="240" w:lineRule="auto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</w:p>
    <w:p w14:paraId="73DD9781" w14:textId="77777777" w:rsidR="00DA0FC8" w:rsidRPr="0059020F" w:rsidRDefault="00DA0FC8" w:rsidP="00DA0FC8">
      <w:pPr>
        <w:autoSpaceDE w:val="0"/>
        <w:autoSpaceDN w:val="0"/>
        <w:adjustRightInd w:val="0"/>
        <w:spacing w:before="0" w:line="240" w:lineRule="auto"/>
        <w:ind w:left="-720"/>
        <w:jc w:val="both"/>
        <w:rPr>
          <w:rFonts w:ascii="Verdana" w:hAnsi="Verdana" w:cs="TimesNewRomanPSMT"/>
          <w:color w:val="000000" w:themeColor="text1"/>
          <w:sz w:val="20"/>
          <w:szCs w:val="20"/>
        </w:rPr>
      </w:pPr>
    </w:p>
    <w:p w14:paraId="170A213C" w14:textId="77777777" w:rsidR="00AB6082" w:rsidRDefault="004D3FCE"/>
    <w:sectPr w:rsidR="00AB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C8"/>
    <w:rsid w:val="00040628"/>
    <w:rsid w:val="00174DA9"/>
    <w:rsid w:val="004D3FCE"/>
    <w:rsid w:val="00DA0FC8"/>
    <w:rsid w:val="00F6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D73B1"/>
  <w15:chartTrackingRefBased/>
  <w15:docId w15:val="{6FFB0B9D-AB25-42C7-B518-07B9CC0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C8"/>
    <w:pPr>
      <w:spacing w:before="120" w:after="0" w:line="276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0F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-NewPage">
    <w:name w:val="H1 - New Page"/>
    <w:basedOn w:val="Heading1"/>
    <w:link w:val="H1-NewPageChar"/>
    <w:qFormat/>
    <w:rsid w:val="00DA0FC8"/>
    <w:pPr>
      <w:keepLines w:val="0"/>
      <w:pBdr>
        <w:top w:val="single" w:sz="12" w:space="1" w:color="auto"/>
        <w:bottom w:val="single" w:sz="12" w:space="1" w:color="auto"/>
      </w:pBdr>
      <w:shd w:val="clear" w:color="auto" w:fill="FFFFFF" w:themeFill="background1"/>
      <w:spacing w:before="0" w:after="120" w:line="240" w:lineRule="auto"/>
      <w:ind w:firstLine="86"/>
    </w:pPr>
    <w:rPr>
      <w:rFonts w:ascii="Times New Roman" w:eastAsia="Times New Roman" w:hAnsi="Times New Roman" w:cs="Arial"/>
      <w:b/>
      <w:bCs/>
      <w:smallCaps/>
      <w:sz w:val="24"/>
      <w:szCs w:val="24"/>
    </w:rPr>
  </w:style>
  <w:style w:type="character" w:customStyle="1" w:styleId="H1-NewPageChar">
    <w:name w:val="H1 - New Page Char"/>
    <w:basedOn w:val="Heading1Char"/>
    <w:link w:val="H1-NewPage"/>
    <w:rsid w:val="00DA0FC8"/>
    <w:rPr>
      <w:rFonts w:ascii="Times New Roman" w:eastAsia="Times New Roman" w:hAnsi="Times New Roman" w:cs="Arial"/>
      <w:b/>
      <w:bCs/>
      <w:smallCaps/>
      <w:color w:val="2F5496" w:themeColor="accent1" w:themeShade="BF"/>
      <w:sz w:val="24"/>
      <w:szCs w:val="24"/>
      <w:shd w:val="clear" w:color="auto" w:fill="FFFFFF" w:themeFill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DA0F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72f0091d499a41912448b9e7f171eb73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588bcec058c1be9b0e15951156a0966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CD8F4D-07D0-4AD3-9716-298CF0C618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1D33A-7AC5-4165-965A-004E94F7F192}">
  <ds:schemaRefs>
    <ds:schemaRef ds:uri="http://purl.org/dc/elements/1.1/"/>
    <ds:schemaRef ds:uri="http://purl.org/dc/dcmitype/"/>
    <ds:schemaRef ds:uri="f87c7b8b-c0e7-4b77-a067-2c707fd1239f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e41e38-1731-4866-b09a-6257d8bc047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7835B6-3C5A-4804-9EAB-742D20D89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Neseth, Hans</dc:creator>
  <cp:keywords/>
  <dc:description/>
  <cp:lastModifiedBy>Ford, Cheryl</cp:lastModifiedBy>
  <cp:revision>2</cp:revision>
  <dcterms:created xsi:type="dcterms:W3CDTF">2019-11-01T12:44:00Z</dcterms:created>
  <dcterms:modified xsi:type="dcterms:W3CDTF">2019-11-01T12:44:00Z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