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F095" w14:textId="658CF203" w:rsidR="00C85391" w:rsidRPr="0059020F" w:rsidRDefault="00C85391" w:rsidP="00C85391">
      <w:pPr>
        <w:tabs>
          <w:tab w:val="left" w:pos="980"/>
        </w:tabs>
        <w:spacing w:before="0" w:after="160" w:line="259" w:lineRule="auto"/>
        <w:rPr>
          <w:rFonts w:ascii="Verdana" w:hAnsi="Verdana"/>
          <w:b/>
          <w:bCs/>
          <w:noProof/>
          <w:sz w:val="28"/>
          <w:szCs w:val="28"/>
        </w:rPr>
      </w:pPr>
      <w:bookmarkStart w:id="0" w:name="_GoBack"/>
      <w:bookmarkEnd w:id="0"/>
      <w:r w:rsidRPr="0059020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49AA227A" wp14:editId="1EF985C1">
                <wp:simplePos x="0" y="0"/>
                <wp:positionH relativeFrom="page">
                  <wp:posOffset>498475</wp:posOffset>
                </wp:positionH>
                <wp:positionV relativeFrom="margin">
                  <wp:posOffset>-42545</wp:posOffset>
                </wp:positionV>
                <wp:extent cx="2695575" cy="5283200"/>
                <wp:effectExtent l="0" t="0" r="9525" b="0"/>
                <wp:wrapSquare wrapText="bothSides"/>
                <wp:docPr id="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28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2ED64E" w14:textId="77777777" w:rsidR="00C85391" w:rsidRPr="00DA7048" w:rsidRDefault="00C85391" w:rsidP="00C853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Grante</w:t>
                            </w:r>
                            <w:r w:rsidRPr="00DA704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5AE05330" w14:textId="77777777" w:rsidR="00C85391" w:rsidRPr="00C51623" w:rsidRDefault="00C85391" w:rsidP="00C85391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Académie Lafayette</w:t>
                            </w:r>
                          </w:p>
                          <w:p w14:paraId="6AE44528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3DFEE0" w14:textId="77777777" w:rsidR="00C85391" w:rsidRDefault="00C85391" w:rsidP="00C85391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566C0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 Award Number:</w:t>
                            </w:r>
                          </w:p>
                          <w:p w14:paraId="2F67AE38" w14:textId="77777777" w:rsidR="00C85391" w:rsidRPr="008003A9" w:rsidRDefault="00C85391" w:rsidP="00C85391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8003A9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t>282E190030</w:t>
                            </w:r>
                          </w:p>
                          <w:p w14:paraId="379361D4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1CC06F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Duration (Years):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660F2190" w14:textId="77777777" w:rsidR="00C85391" w:rsidRPr="004F5221" w:rsidRDefault="00C85391" w:rsidP="00C85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D8776D6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1 Funding:</w:t>
                            </w:r>
                          </w:p>
                          <w:p w14:paraId="00E6F4AB" w14:textId="77777777" w:rsidR="00C85391" w:rsidRDefault="00C85391" w:rsidP="00C85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994A2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549,375</w:t>
                            </w:r>
                          </w:p>
                          <w:p w14:paraId="37450097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346ABC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Expected Funding:</w:t>
                            </w:r>
                          </w:p>
                          <w:p w14:paraId="0EEF975A" w14:textId="77777777" w:rsidR="00C85391" w:rsidRPr="00E22AF9" w:rsidRDefault="00C85391" w:rsidP="00C85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C0D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1,341,461</w:t>
                            </w:r>
                          </w:p>
                          <w:p w14:paraId="188DFE49" w14:textId="77777777" w:rsidR="00C85391" w:rsidRPr="00C51623" w:rsidRDefault="00C85391" w:rsidP="00C8539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A60FEE7" w14:textId="77777777" w:rsidR="00C85391" w:rsidRDefault="00C85391" w:rsidP="00C85391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Académie Lafayette:</w:t>
                            </w:r>
                          </w:p>
                          <w:p w14:paraId="161FA93B" w14:textId="77777777" w:rsidR="00C85391" w:rsidRPr="005203C1" w:rsidRDefault="00C85391" w:rsidP="00C853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2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201 East </w:t>
                            </w:r>
                            <w:proofErr w:type="spellStart"/>
                            <w:r w:rsidRPr="00CB2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Armour</w:t>
                            </w:r>
                            <w:proofErr w:type="spellEnd"/>
                            <w:r w:rsidRPr="00CB26C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Boulevard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Kansas City, MO 64111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227A" id="Rectangle 397" o:spid="_x0000_s1026" style="position:absolute;margin-left:39.25pt;margin-top:-3.35pt;width:212.25pt;height:416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htSgIAAHoEAAAOAAAAZHJzL2Uyb0RvYy54bWysVNtuEzEQfUfiHyy/003Tpm2ibKoqUQGp&#10;QEXhAyZe766F12PGTjbh6zv2hrSBN8Q+WB57fOacuez8dtdZsdUUDLpSnp+NpNBOYWVcU8rv3+7f&#10;3UgRIrgKLDpdyr0O8nbx9s289zM9xhZtpUkwiAuz3peyjdHPiiKoVncQztBrx5c1UgeRTWqKiqBn&#10;9M4W49HoquiRKk+odAh8uhou5SLj17VW8UtdBx2FLSVzi3mlvK7TWizmMGsIfGvUgQb8A4sOjOOg&#10;R6gVRBAbMn9BdUYRBqzjmcKuwLo2SmcNrOZ89Ieapxa8zlo4OcEf0xT+H6z6vH0kYapSTqVw0HGJ&#10;vnLSwDVWi4vpdUpQ78OM/Z78IyWJwT+g+hGEw2XLfvqOCPtWQ8W0zpN/cfIgGYGfinX/CSvGh03E&#10;nKtdTZ2orfEf0sMEzfkQu1yc/bE4eheF4sPx1XQyuZ5IofhuMr654PLnaDBLQOm5pxDfa+xE2pSS&#10;WEiGhe1DiInYi0sWgtZU98babOzD0pLYAjcK91eFvRQWQuTDUt7nL2PZTccyBr/pZHTkEPL7HCO8&#10;xrVO9Ex+csmeQgG3eG0h8rbznPTgGinANjw7KlIO4DBRyn2ZZKwgtEO0DHtQbF3irHODH7T9zvNQ&#10;r7hb7w6lW2O15/QTDs3Pw8qbFumXFD03PpP4uQHSLPej4xKOry85tTwqJxadWOsTC5xiuFKyqmG7&#10;jMOEbTyZpuVoQ3Ud3nHpa5NLkegOzA4Nww2es3cYxjRBr+3s9fLLWDwDAAD//wMAUEsDBBQABgAI&#10;AAAAIQCByCMQ3QAAAAkBAAAPAAAAZHJzL2Rvd25yZXYueG1sTI/BTsMwEETvSPyDtUjcWptWaUPI&#10;pkIgpFxp8wHb2CSB2I5it3X5epYTHEczmnlT7pIdxdnMYfAO4WGpQBjXej24DqE5vC1yECGS0zR6&#10;ZxCuJsCuur0pqdD+4t7NeR87wSUuFITQxzgVUoa2N5bC0k/GsffhZ0uR5dxJPdOFy+0oV0ptpKXB&#10;8UJPk3npTfu1P1kEfX1set1ktWrJp9c01N+feY14f5een0BEk+JfGH7xGR0qZjr6k9NBjAjbPOMk&#10;wmKzBcF+ptb87YiQr7I1yKqU/x9UPwAAAP//AwBQSwECLQAUAAYACAAAACEAtoM4kv4AAADhAQAA&#10;EwAAAAAAAAAAAAAAAAAAAAAAW0NvbnRlbnRfVHlwZXNdLnhtbFBLAQItABQABgAIAAAAIQA4/SH/&#10;1gAAAJQBAAALAAAAAAAAAAAAAAAAAC8BAABfcmVscy8ucmVsc1BLAQItABQABgAIAAAAIQAx+uht&#10;SgIAAHoEAAAOAAAAAAAAAAAAAAAAAC4CAABkcnMvZTJvRG9jLnhtbFBLAQItABQABgAIAAAAIQCB&#10;yCMQ3QAAAAkBAAAPAAAAAAAAAAAAAAAAAKQEAABkcnMvZG93bnJldi54bWxQSwUGAAAAAAQABADz&#10;AAAArgUAAAAA&#10;" o:allowincell="f" fillcolor="#f2f2f2" stroked="f" strokeweight="2pt">
                <v:textbox inset="21.6pt,21.6pt,21.6pt,21.6pt">
                  <w:txbxContent>
                    <w:p w14:paraId="772ED64E" w14:textId="77777777" w:rsidR="00C85391" w:rsidRPr="00DA7048" w:rsidRDefault="00C85391" w:rsidP="00C853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Grante</w:t>
                      </w:r>
                      <w:r w:rsidRPr="00DA704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e:</w:t>
                      </w:r>
                    </w:p>
                    <w:p w14:paraId="5AE05330" w14:textId="77777777" w:rsidR="00C85391" w:rsidRPr="00C51623" w:rsidRDefault="00C85391" w:rsidP="00C85391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Académie Lafayette</w:t>
                      </w:r>
                    </w:p>
                    <w:p w14:paraId="6AE44528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3DFEE0" w14:textId="77777777" w:rsidR="00C85391" w:rsidRDefault="00C85391" w:rsidP="00C85391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566C0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 Award Number:</w:t>
                      </w:r>
                    </w:p>
                    <w:p w14:paraId="2F67AE38" w14:textId="77777777" w:rsidR="00C85391" w:rsidRPr="008003A9" w:rsidRDefault="00C85391" w:rsidP="00C85391">
                      <w:pP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8003A9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t>282E190030</w:t>
                      </w:r>
                    </w:p>
                    <w:p w14:paraId="379361D4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C1CC06F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Duration (Years):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  <w:p w14:paraId="660F2190" w14:textId="77777777" w:rsidR="00C85391" w:rsidRPr="004F5221" w:rsidRDefault="00C85391" w:rsidP="00C853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D8776D6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1 Funding:</w:t>
                      </w:r>
                    </w:p>
                    <w:p w14:paraId="00E6F4AB" w14:textId="77777777" w:rsidR="00C85391" w:rsidRDefault="00C85391" w:rsidP="00C853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994A22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549,375</w:t>
                      </w:r>
                    </w:p>
                    <w:p w14:paraId="37450097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D346ABC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Expected Funding:</w:t>
                      </w:r>
                    </w:p>
                    <w:p w14:paraId="0EEF975A" w14:textId="77777777" w:rsidR="00C85391" w:rsidRPr="00E22AF9" w:rsidRDefault="00C85391" w:rsidP="00C853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C0D5F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1,341,461</w:t>
                      </w:r>
                    </w:p>
                    <w:p w14:paraId="188DFE49" w14:textId="77777777" w:rsidR="00C85391" w:rsidRPr="00C51623" w:rsidRDefault="00C85391" w:rsidP="00C8539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A60FEE7" w14:textId="77777777" w:rsidR="00C85391" w:rsidRDefault="00C85391" w:rsidP="00C85391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Académie Lafayette:</w:t>
                      </w:r>
                    </w:p>
                    <w:p w14:paraId="161FA93B" w14:textId="77777777" w:rsidR="00C85391" w:rsidRPr="005203C1" w:rsidRDefault="00C85391" w:rsidP="00C85391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26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201 East </w:t>
                      </w:r>
                      <w:proofErr w:type="spellStart"/>
                      <w:r w:rsidRPr="00CB26C1">
                        <w:rPr>
                          <w:rFonts w:ascii="Verdana" w:hAnsi="Verdana"/>
                          <w:sz w:val="20"/>
                          <w:szCs w:val="20"/>
                        </w:rPr>
                        <w:t>Armour</w:t>
                      </w:r>
                      <w:proofErr w:type="spellEnd"/>
                      <w:r w:rsidRPr="00CB26C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Boulevard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Kansas City, MO 64111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w:t>Académie Lafayette</w:t>
      </w:r>
    </w:p>
    <w:p w14:paraId="7A396E26" w14:textId="77777777" w:rsidR="00C85391" w:rsidRDefault="00C85391" w:rsidP="00C85391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Académie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Lafayette is a Missouri charter Local Education Agency (LEA) in Kansas City, Missouri. The LEA currently operates three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French immersion charter schools spanning the K-8 grade levels.</w:t>
      </w:r>
      <w:r>
        <w:rPr>
          <w:rFonts w:ascii="Verdana" w:hAnsi="Verdana"/>
          <w:bCs/>
          <w:noProof/>
          <w:sz w:val="20"/>
          <w:szCs w:val="20"/>
        </w:rPr>
        <w:t xml:space="preserve"> T</w:t>
      </w:r>
      <w:r w:rsidRPr="00EE1AAF">
        <w:rPr>
          <w:rFonts w:ascii="Verdana" w:hAnsi="Verdana"/>
          <w:bCs/>
          <w:noProof/>
          <w:sz w:val="20"/>
          <w:szCs w:val="20"/>
        </w:rPr>
        <w:t>he objectives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of this project are:</w:t>
      </w:r>
    </w:p>
    <w:p w14:paraId="0843A8D6" w14:textId="77777777" w:rsidR="00C85391" w:rsidRDefault="00C85391" w:rsidP="00C85391">
      <w:pPr>
        <w:pStyle w:val="ListParagraph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851D54">
        <w:rPr>
          <w:rFonts w:ascii="Verdana" w:hAnsi="Verdana"/>
          <w:bCs/>
          <w:noProof/>
          <w:sz w:val="20"/>
          <w:szCs w:val="20"/>
        </w:rPr>
        <w:t>Expand the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851D54">
        <w:rPr>
          <w:rFonts w:ascii="Verdana" w:hAnsi="Verdana"/>
          <w:bCs/>
          <w:noProof/>
          <w:sz w:val="20"/>
          <w:szCs w:val="20"/>
        </w:rPr>
        <w:t>middle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851D54">
        <w:rPr>
          <w:rFonts w:ascii="Verdana" w:hAnsi="Verdana"/>
          <w:bCs/>
          <w:noProof/>
          <w:sz w:val="20"/>
          <w:szCs w:val="20"/>
        </w:rPr>
        <w:t>school to serve grades 9-12.</w:t>
      </w:r>
    </w:p>
    <w:p w14:paraId="26B0C521" w14:textId="77777777" w:rsidR="00C85391" w:rsidRDefault="00C85391" w:rsidP="00C85391">
      <w:pPr>
        <w:pStyle w:val="ListParagraph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851D54">
        <w:rPr>
          <w:rFonts w:ascii="Verdana" w:hAnsi="Verdana"/>
          <w:bCs/>
          <w:noProof/>
          <w:sz w:val="20"/>
          <w:szCs w:val="20"/>
        </w:rPr>
        <w:t>Increase the percentage of educationally disadvantaged students served.</w:t>
      </w:r>
    </w:p>
    <w:p w14:paraId="66873CFB" w14:textId="77777777" w:rsidR="00C85391" w:rsidRDefault="00C85391" w:rsidP="00C85391">
      <w:pPr>
        <w:pStyle w:val="ListParagraph"/>
        <w:numPr>
          <w:ilvl w:val="0"/>
          <w:numId w:val="2"/>
        </w:numPr>
        <w:spacing w:before="0" w:after="0" w:line="240" w:lineRule="auto"/>
        <w:contextualSpacing/>
        <w:jc w:val="both"/>
        <w:rPr>
          <w:rFonts w:ascii="Verdana" w:hAnsi="Verdana"/>
          <w:bCs/>
          <w:noProof/>
          <w:sz w:val="20"/>
          <w:szCs w:val="20"/>
        </w:rPr>
      </w:pPr>
      <w:r w:rsidRPr="00851D54">
        <w:rPr>
          <w:rFonts w:ascii="Verdana" w:hAnsi="Verdana"/>
          <w:bCs/>
          <w:noProof/>
          <w:sz w:val="20"/>
          <w:szCs w:val="20"/>
        </w:rPr>
        <w:t>Continue the level of academic excellence, significantly exceeding the proficiency of all students in Missouri on the state assessments and graduating college ready students.</w:t>
      </w:r>
    </w:p>
    <w:p w14:paraId="6D3B59A6" w14:textId="77777777" w:rsidR="00C85391" w:rsidRDefault="00C85391" w:rsidP="00C85391">
      <w:pPr>
        <w:pStyle w:val="ListParagraph"/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18EB27CC" w14:textId="77777777" w:rsidR="00C85391" w:rsidRDefault="00C85391" w:rsidP="00C85391">
      <w:pPr>
        <w:pStyle w:val="ListParagraph"/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343024">
        <w:rPr>
          <w:rFonts w:ascii="Verdana" w:hAnsi="Verdana"/>
          <w:bCs/>
          <w:noProof/>
          <w:sz w:val="20"/>
          <w:szCs w:val="20"/>
        </w:rPr>
        <w:t>The design of the high school will be centered around a full diploma International Baccalaureate (IB) program, as the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middle school has an IB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middle years program.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The four broad components of proposed project activities are provisioning of the school building to support the high school grade levels; supporting the start up of the IB program; supporting increased constructivist instruction and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professional development of the staff.</w:t>
      </w:r>
      <w:r>
        <w:rPr>
          <w:rFonts w:ascii="Verdana" w:hAnsi="Verdana"/>
          <w:bCs/>
          <w:noProof/>
          <w:sz w:val="20"/>
          <w:szCs w:val="20"/>
        </w:rPr>
        <w:t xml:space="preserve"> Q</w:t>
      </w:r>
      <w:r w:rsidRPr="00343024">
        <w:rPr>
          <w:rFonts w:ascii="Verdana" w:hAnsi="Verdana"/>
          <w:bCs/>
          <w:noProof/>
          <w:sz w:val="20"/>
          <w:szCs w:val="20"/>
        </w:rPr>
        <w:t xml:space="preserve">uantitative performance measures and outcomes for each project objective are specified. </w:t>
      </w:r>
    </w:p>
    <w:p w14:paraId="10628591" w14:textId="77777777" w:rsidR="00C85391" w:rsidRDefault="00C85391" w:rsidP="00C85391">
      <w:pPr>
        <w:pStyle w:val="ListParagraph"/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2EAAD7F4" w14:textId="77777777" w:rsidR="00C85391" w:rsidRDefault="00C85391" w:rsidP="00C85391">
      <w:pPr>
        <w:pStyle w:val="ListParagraph"/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343024">
        <w:rPr>
          <w:rFonts w:ascii="Verdana" w:hAnsi="Verdana"/>
          <w:bCs/>
          <w:noProof/>
          <w:sz w:val="20"/>
          <w:szCs w:val="20"/>
        </w:rPr>
        <w:t>The school will grow to serve 276 students over the course of this project with an eventual enrollment of over 500 students at capacity.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 xml:space="preserve">The academic outcomes for </w:t>
      </w:r>
      <w:r>
        <w:rPr>
          <w:rFonts w:ascii="Verdana" w:hAnsi="Verdana"/>
          <w:bCs/>
          <w:noProof/>
          <w:sz w:val="20"/>
          <w:szCs w:val="20"/>
        </w:rPr>
        <w:t>Académie</w:t>
      </w:r>
      <w:r w:rsidRPr="00343024">
        <w:rPr>
          <w:rFonts w:ascii="Verdana" w:hAnsi="Verdana"/>
          <w:bCs/>
          <w:noProof/>
          <w:sz w:val="20"/>
          <w:szCs w:val="20"/>
        </w:rPr>
        <w:t xml:space="preserve"> Lafayette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students demonstrate that it is an exceptionally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high-quality charter school. The proficiency of the LEA’s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students on the state assessments is dramatically better than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the overall state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with the proficiency rates exceeding the state by 25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percentage points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in English Language Arts and 26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percentage points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in math.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>The LEA students’ proficiency on the State tests is the 5</w:t>
      </w:r>
      <w:r w:rsidRPr="00B17CCF">
        <w:rPr>
          <w:rFonts w:ascii="Verdana" w:hAnsi="Verdana"/>
          <w:bCs/>
          <w:noProof/>
          <w:sz w:val="20"/>
          <w:szCs w:val="20"/>
          <w:vertAlign w:val="superscript"/>
        </w:rPr>
        <w:t>th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343024">
        <w:rPr>
          <w:rFonts w:ascii="Verdana" w:hAnsi="Verdana"/>
          <w:bCs/>
          <w:noProof/>
          <w:sz w:val="20"/>
          <w:szCs w:val="20"/>
        </w:rPr>
        <w:t xml:space="preserve">highest among the 558 LEAs in Missouri. It exceeds that of any charter or public school district in Kansas City or St. Louis, including those </w:t>
      </w:r>
      <w:r w:rsidRPr="00EE1AAF">
        <w:rPr>
          <w:rFonts w:ascii="Verdana" w:hAnsi="Verdana"/>
          <w:bCs/>
          <w:noProof/>
          <w:sz w:val="20"/>
          <w:szCs w:val="20"/>
        </w:rPr>
        <w:t>in the</w:t>
      </w:r>
      <w:r>
        <w:rPr>
          <w:rFonts w:ascii="Verdana" w:hAnsi="Verdana"/>
          <w:bCs/>
          <w:noProof/>
          <w:sz w:val="20"/>
          <w:szCs w:val="20"/>
        </w:rPr>
        <w:t>ir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relatively affluent suburbs.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The proficiency of </w:t>
      </w:r>
      <w:r>
        <w:rPr>
          <w:rFonts w:ascii="Verdana" w:hAnsi="Verdana"/>
          <w:bCs/>
          <w:noProof/>
          <w:sz w:val="20"/>
          <w:szCs w:val="20"/>
        </w:rPr>
        <w:t>Académie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Lafayette’s educationally disadvantaged students exceeds the proficiency of similar groups of students in Missouri and either exceed or are comparable to those for ALL students in the State.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</w:p>
    <w:p w14:paraId="6B2B8208" w14:textId="77777777" w:rsidR="00C85391" w:rsidRPr="006C0D5F" w:rsidRDefault="00C85391" w:rsidP="00C85391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7F28574D" w14:textId="41FFCA5B" w:rsidR="00C85391" w:rsidRDefault="00C85391" w:rsidP="00C85391">
      <w:pPr>
        <w:pStyle w:val="ListParagraph"/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EE1AAF">
        <w:rPr>
          <w:rFonts w:ascii="Verdana" w:hAnsi="Verdana"/>
          <w:bCs/>
          <w:noProof/>
          <w:sz w:val="20"/>
          <w:szCs w:val="20"/>
        </w:rPr>
        <w:t xml:space="preserve">The strongest testament to this project supporting the expanded capacity of </w:t>
      </w:r>
      <w:r>
        <w:rPr>
          <w:rFonts w:ascii="Verdana" w:hAnsi="Verdana"/>
          <w:bCs/>
          <w:noProof/>
          <w:sz w:val="20"/>
          <w:szCs w:val="20"/>
        </w:rPr>
        <w:t>Académie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Lafayetteis community demand.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In August 2017,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178 children or 57% of applicants for kindergarten had to be placed on a waiting list.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Kansas City parents are becoming increasingly aware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of the educational choices and are selecting </w:t>
      </w:r>
      <w:r>
        <w:rPr>
          <w:rFonts w:ascii="Verdana" w:hAnsi="Verdana"/>
          <w:bCs/>
          <w:noProof/>
          <w:sz w:val="20"/>
          <w:szCs w:val="20"/>
        </w:rPr>
        <w:t>Académie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Lafayette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for their children.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"I cried for three days," said the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mother of Lila, Arlo and Ira after receiving her wait list position --#89. </w:t>
      </w:r>
      <w:r>
        <w:rPr>
          <w:rFonts w:ascii="Verdana" w:hAnsi="Verdana"/>
          <w:bCs/>
          <w:noProof/>
          <w:sz w:val="20"/>
          <w:szCs w:val="20"/>
        </w:rPr>
        <w:t>Académie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 Lafayette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was their only choice. Their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 xml:space="preserve">home was not in the preferred zones for other high performing schools. The KCPS </w:t>
      </w:r>
      <w:r>
        <w:rPr>
          <w:rFonts w:ascii="Verdana" w:hAnsi="Verdana"/>
          <w:bCs/>
          <w:noProof/>
          <w:sz w:val="20"/>
          <w:szCs w:val="20"/>
        </w:rPr>
        <w:lastRenderedPageBreak/>
        <w:t>s</w:t>
      </w:r>
      <w:r w:rsidRPr="00EE1AAF">
        <w:rPr>
          <w:rFonts w:ascii="Verdana" w:hAnsi="Verdana"/>
          <w:bCs/>
          <w:noProof/>
          <w:sz w:val="20"/>
          <w:szCs w:val="20"/>
        </w:rPr>
        <w:t>chool they were assigned was low performing and across town. Private school was too expensive.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EE1AAF">
        <w:rPr>
          <w:rFonts w:ascii="Verdana" w:hAnsi="Verdana"/>
          <w:bCs/>
          <w:noProof/>
          <w:sz w:val="20"/>
          <w:szCs w:val="20"/>
        </w:rPr>
        <w:t>"We felt we had no choice. We moved to Kansas.</w:t>
      </w:r>
      <w:r>
        <w:rPr>
          <w:rFonts w:ascii="Verdana" w:hAnsi="Verdana"/>
          <w:bCs/>
          <w:noProof/>
          <w:sz w:val="20"/>
          <w:szCs w:val="20"/>
        </w:rPr>
        <w:t>”</w:t>
      </w:r>
    </w:p>
    <w:p w14:paraId="170A213C" w14:textId="77777777" w:rsidR="00AB6082" w:rsidRDefault="00AA65AF"/>
    <w:sectPr w:rsidR="00AB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6BB"/>
    <w:multiLevelType w:val="hybridMultilevel"/>
    <w:tmpl w:val="2174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27D"/>
    <w:multiLevelType w:val="hybridMultilevel"/>
    <w:tmpl w:val="D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8"/>
    <w:rsid w:val="00040628"/>
    <w:rsid w:val="000A5CA4"/>
    <w:rsid w:val="00174DA9"/>
    <w:rsid w:val="00214D9C"/>
    <w:rsid w:val="004F0E3E"/>
    <w:rsid w:val="0067259C"/>
    <w:rsid w:val="008C7214"/>
    <w:rsid w:val="00AA65AF"/>
    <w:rsid w:val="00C24FC9"/>
    <w:rsid w:val="00C85391"/>
    <w:rsid w:val="00DA0FC8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3B1"/>
  <w15:chartTrackingRefBased/>
  <w15:docId w15:val="{6FFB0B9D-AB25-42C7-B518-07B9CC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8"/>
    <w:pPr>
      <w:spacing w:before="120" w:after="0" w:line="276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NewPage">
    <w:name w:val="H1 - New Page"/>
    <w:basedOn w:val="Heading1"/>
    <w:link w:val="H1-NewPageChar"/>
    <w:qFormat/>
    <w:rsid w:val="00DA0FC8"/>
    <w:pPr>
      <w:keepLines w:val="0"/>
      <w:pBdr>
        <w:top w:val="single" w:sz="12" w:space="1" w:color="auto"/>
        <w:bottom w:val="single" w:sz="12" w:space="1" w:color="auto"/>
      </w:pBdr>
      <w:shd w:val="clear" w:color="auto" w:fill="FFFFFF" w:themeFill="background1"/>
      <w:spacing w:before="0" w:after="120" w:line="240" w:lineRule="auto"/>
      <w:ind w:firstLine="86"/>
    </w:pPr>
    <w:rPr>
      <w:rFonts w:ascii="Times New Roman" w:eastAsia="Times New Roman" w:hAnsi="Times New Roman" w:cs="Arial"/>
      <w:b/>
      <w:bCs/>
      <w:smallCaps/>
      <w:sz w:val="24"/>
      <w:szCs w:val="24"/>
    </w:rPr>
  </w:style>
  <w:style w:type="character" w:customStyle="1" w:styleId="H1-NewPageChar">
    <w:name w:val="H1 - New Page Char"/>
    <w:basedOn w:val="Heading1Char"/>
    <w:link w:val="H1-NewPage"/>
    <w:rsid w:val="00DA0FC8"/>
    <w:rPr>
      <w:rFonts w:ascii="Times New Roman" w:eastAsia="Times New Roman" w:hAnsi="Times New Roman" w:cs="Arial"/>
      <w:b/>
      <w:bCs/>
      <w:smallCaps/>
      <w:color w:val="2F5496" w:themeColor="accent1" w:themeShade="BF"/>
      <w:sz w:val="24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A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CA4"/>
    <w:pPr>
      <w:spacing w:after="200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2f0091d499a41912448b9e7f171eb7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588bcec058c1be9b0e15951156a096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D8F4D-07D0-4AD3-9716-298CF0C61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D33A-7AC5-4165-965A-004E94F7F192}">
  <ds:schemaRefs>
    <ds:schemaRef ds:uri="http://purl.org/dc/elements/1.1/"/>
    <ds:schemaRef ds:uri="http://www.w3.org/XML/1998/namespace"/>
    <ds:schemaRef ds:uri="f87c7b8b-c0e7-4b77-a067-2c707fd1239f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2e41e38-1731-4866-b09a-6257d8bc047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FCF333-4176-4BED-B2CB-0A249F5B6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Neseth, Hans</dc:creator>
  <cp:keywords/>
  <dc:description/>
  <cp:lastModifiedBy>Ford, Cheryl</cp:lastModifiedBy>
  <cp:revision>2</cp:revision>
  <dcterms:created xsi:type="dcterms:W3CDTF">2019-11-01T12:52:00Z</dcterms:created>
  <dcterms:modified xsi:type="dcterms:W3CDTF">2019-11-01T12:52:00Z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